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pacing w:after="0" w:line="420" w:lineRule="auto"/>
        <w:jc w:val="both"/>
        <w:rPr>
          <w:color w:val="auto"/>
          <w:sz w:val="24"/>
          <w:szCs w:val="24"/>
        </w:rPr>
      </w:pPr>
      <w:r>
        <w:rPr>
          <w:rFonts w:ascii="Times New Roman" w:hAnsi="Times New Roman" w:eastAsia="宋体" w:cs="Times New Roman"/>
          <w:snapToGrid w:val="0"/>
          <w:color w:val="auto"/>
          <w:sz w:val="21"/>
          <w:szCs w:val="21"/>
        </w:rPr>
        <w:drawing>
          <wp:anchor distT="0" distB="0" distL="114300" distR="114300" simplePos="0" relativeHeight="251662336" behindDoc="0" locked="0" layoutInCell="1" allowOverlap="1">
            <wp:simplePos x="0" y="0"/>
            <wp:positionH relativeFrom="column">
              <wp:align>left</wp:align>
            </wp:positionH>
            <wp:positionV relativeFrom="paragraph">
              <wp:posOffset>77470</wp:posOffset>
            </wp:positionV>
            <wp:extent cx="1833880" cy="952500"/>
            <wp:effectExtent l="0" t="0" r="13970" b="0"/>
            <wp:wrapSquare wrapText="right"/>
            <wp:docPr id="1" name="图片 8" descr="15288957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1528895719(1)"/>
                    <pic:cNvPicPr>
                      <a:picLocks noChangeAspect="1"/>
                    </pic:cNvPicPr>
                  </pic:nvPicPr>
                  <pic:blipFill>
                    <a:blip r:embed="rId6" cstate="print"/>
                    <a:stretch>
                      <a:fillRect/>
                    </a:stretch>
                  </pic:blipFill>
                  <pic:spPr>
                    <a:xfrm>
                      <a:off x="0" y="0"/>
                      <a:ext cx="1833880" cy="952500"/>
                    </a:xfrm>
                    <a:prstGeom prst="rect">
                      <a:avLst/>
                    </a:prstGeom>
                    <a:noFill/>
                    <a:ln>
                      <a:noFill/>
                    </a:ln>
                  </pic:spPr>
                </pic:pic>
              </a:graphicData>
            </a:graphic>
          </wp:anchor>
        </w:drawing>
      </w: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jc w:val="center"/>
        <w:rPr>
          <w:rFonts w:ascii="黑体" w:hAnsi="Times New Roman" w:eastAsia="黑体" w:cs="黑体"/>
          <w:b/>
          <w:color w:val="auto"/>
          <w:sz w:val="72"/>
          <w:szCs w:val="72"/>
        </w:rPr>
      </w:pPr>
      <w:r>
        <w:rPr>
          <w:rFonts w:hint="eastAsia" w:ascii="黑体" w:hAnsi="华文中宋" w:eastAsia="黑体" w:cs="华文中宋"/>
          <w:b/>
          <w:color w:val="auto"/>
          <w:sz w:val="72"/>
          <w:szCs w:val="72"/>
        </w:rPr>
        <w:t>服务采购</w:t>
      </w:r>
    </w:p>
    <w:p>
      <w:pPr>
        <w:widowControl w:val="0"/>
        <w:autoSpaceDE w:val="0"/>
        <w:autoSpaceDN w:val="0"/>
        <w:spacing w:beforeLines="50" w:after="0"/>
        <w:jc w:val="center"/>
        <w:rPr>
          <w:rFonts w:ascii="仿宋_GB2312" w:eastAsia="仿宋_GB2312" w:cs="仿宋_GB2312"/>
          <w:b/>
          <w:color w:val="auto"/>
          <w:sz w:val="72"/>
          <w:szCs w:val="72"/>
        </w:rPr>
      </w:pPr>
      <w:r>
        <w:rPr>
          <w:rFonts w:hint="eastAsia" w:ascii="黑体" w:hAnsi="华文中宋" w:eastAsia="黑体" w:cs="华文中宋"/>
          <w:b/>
          <w:color w:val="auto"/>
          <w:sz w:val="72"/>
          <w:szCs w:val="72"/>
        </w:rPr>
        <w:t>竞争性磋商文件</w:t>
      </w:r>
    </w:p>
    <w:p>
      <w:pPr>
        <w:widowControl w:val="0"/>
        <w:autoSpaceDE w:val="0"/>
        <w:autoSpaceDN w:val="0"/>
        <w:spacing w:after="0" w:line="480" w:lineRule="auto"/>
        <w:rPr>
          <w:rFonts w:ascii="宋体" w:hAnsi="宋体" w:eastAsia="宋体" w:cs="宋体"/>
          <w:color w:val="auto"/>
          <w:sz w:val="24"/>
          <w:szCs w:val="21"/>
        </w:rPr>
      </w:pPr>
    </w:p>
    <w:p>
      <w:pPr>
        <w:widowControl w:val="0"/>
        <w:autoSpaceDE w:val="0"/>
        <w:autoSpaceDN w:val="0"/>
        <w:spacing w:after="0" w:line="480" w:lineRule="auto"/>
        <w:rPr>
          <w:rFonts w:ascii="宋体" w:hAnsi="宋体" w:eastAsia="宋体" w:cs="宋体"/>
          <w:color w:val="auto"/>
          <w:sz w:val="24"/>
          <w:szCs w:val="21"/>
        </w:rPr>
      </w:pPr>
    </w:p>
    <w:p>
      <w:pPr>
        <w:widowControl w:val="0"/>
        <w:autoSpaceDE w:val="0"/>
        <w:autoSpaceDN w:val="0"/>
        <w:spacing w:after="0" w:line="360" w:lineRule="auto"/>
        <w:rPr>
          <w:rFonts w:ascii="宋体" w:hAnsi="宋体" w:eastAsia="宋体" w:cs="宋体"/>
          <w:color w:val="auto"/>
          <w:sz w:val="24"/>
          <w:szCs w:val="21"/>
        </w:rPr>
      </w:pPr>
    </w:p>
    <w:p>
      <w:pPr>
        <w:widowControl w:val="0"/>
        <w:autoSpaceDE w:val="0"/>
        <w:autoSpaceDN w:val="0"/>
        <w:spacing w:after="0" w:line="360" w:lineRule="auto"/>
        <w:rPr>
          <w:rFonts w:ascii="宋体" w:hAnsi="宋体" w:eastAsia="宋体" w:cs="宋体"/>
          <w:color w:val="auto"/>
          <w:sz w:val="24"/>
          <w:szCs w:val="21"/>
        </w:rPr>
      </w:pPr>
    </w:p>
    <w:p>
      <w:pPr>
        <w:pStyle w:val="6"/>
        <w:widowControl/>
        <w:spacing w:line="360" w:lineRule="auto"/>
        <w:ind w:left="708" w:leftChars="322"/>
        <w:rPr>
          <w:rFonts w:ascii="仿宋_GB2312" w:eastAsia="仿宋_GB2312" w:cs="仿宋_GB2312"/>
          <w:b/>
          <w:color w:val="auto"/>
          <w:sz w:val="32"/>
        </w:rPr>
      </w:pPr>
      <w:r>
        <w:rPr>
          <w:rFonts w:hint="eastAsia" w:ascii="仿宋_GB2312" w:eastAsia="仿宋_GB2312" w:cs="仿宋_GB2312"/>
          <w:b/>
          <w:color w:val="auto"/>
          <w:sz w:val="32"/>
        </w:rPr>
        <w:t>项目编号：GZGX20GZ00ZC-33</w:t>
      </w:r>
    </w:p>
    <w:p>
      <w:pPr>
        <w:widowControl w:val="0"/>
        <w:autoSpaceDE w:val="0"/>
        <w:autoSpaceDN w:val="0"/>
        <w:spacing w:after="0" w:line="360" w:lineRule="auto"/>
        <w:ind w:left="708" w:leftChars="322"/>
        <w:rPr>
          <w:rFonts w:ascii="仿宋_GB2312" w:eastAsia="仿宋_GB2312" w:cs="仿宋_GB2312"/>
          <w:b/>
          <w:color w:val="auto"/>
          <w:sz w:val="32"/>
          <w:szCs w:val="21"/>
        </w:rPr>
      </w:pPr>
      <w:r>
        <w:rPr>
          <w:rFonts w:hint="eastAsia" w:ascii="仿宋_GB2312" w:hAnsi="Times New Roman" w:eastAsia="仿宋_GB2312" w:cs="仿宋_GB2312"/>
          <w:b/>
          <w:color w:val="auto"/>
          <w:sz w:val="32"/>
          <w:szCs w:val="21"/>
        </w:rPr>
        <w:t>项目名称：白云区消防救援大队大源村消防安全综合治理项目</w:t>
      </w: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center"/>
        <w:rPr>
          <w:color w:val="auto"/>
          <w:sz w:val="24"/>
          <w:szCs w:val="24"/>
        </w:rPr>
      </w:pPr>
    </w:p>
    <w:p>
      <w:pPr>
        <w:widowControl w:val="0"/>
        <w:autoSpaceDE w:val="0"/>
        <w:autoSpaceDN w:val="0"/>
        <w:spacing w:after="0" w:line="420" w:lineRule="auto"/>
        <w:jc w:val="both"/>
        <w:rPr>
          <w:color w:val="auto"/>
          <w:sz w:val="24"/>
          <w:szCs w:val="24"/>
        </w:rPr>
      </w:pPr>
    </w:p>
    <w:p>
      <w:pPr>
        <w:widowControl w:val="0"/>
        <w:autoSpaceDE w:val="0"/>
        <w:autoSpaceDN w:val="0"/>
        <w:spacing w:after="0" w:line="360" w:lineRule="auto"/>
        <w:jc w:val="center"/>
        <w:rPr>
          <w:rFonts w:ascii="黑体" w:hAnsi="华文中宋" w:eastAsia="黑体" w:cs="华文中宋"/>
          <w:color w:val="auto"/>
          <w:sz w:val="30"/>
          <w:szCs w:val="30"/>
        </w:rPr>
      </w:pPr>
      <w:r>
        <w:rPr>
          <w:rFonts w:hint="eastAsia" w:ascii="黑体" w:hAnsi="华文中宋" w:eastAsia="黑体" w:cs="华文中宋"/>
          <w:color w:val="auto"/>
          <w:sz w:val="30"/>
          <w:szCs w:val="30"/>
          <w:highlight w:val="none"/>
        </w:rPr>
        <w:t>广州市白云区消防救援大队</w:t>
      </w:r>
    </w:p>
    <w:p>
      <w:pPr>
        <w:widowControl w:val="0"/>
        <w:autoSpaceDE w:val="0"/>
        <w:autoSpaceDN w:val="0"/>
        <w:spacing w:after="0" w:line="360" w:lineRule="auto"/>
        <w:jc w:val="center"/>
        <w:rPr>
          <w:rFonts w:ascii="黑体" w:hAnsi="华文中宋" w:eastAsia="黑体" w:cs="华文中宋"/>
          <w:color w:val="auto"/>
          <w:sz w:val="30"/>
          <w:szCs w:val="30"/>
        </w:rPr>
      </w:pPr>
      <w:r>
        <w:rPr>
          <w:rFonts w:hint="eastAsia" w:ascii="黑体" w:hAnsi="华文中宋" w:eastAsia="黑体" w:cs="华文中宋"/>
          <w:color w:val="auto"/>
          <w:sz w:val="30"/>
          <w:szCs w:val="30"/>
        </w:rPr>
        <w:t>广州公信招标有限公司</w:t>
      </w:r>
    </w:p>
    <w:p>
      <w:pPr>
        <w:widowControl w:val="0"/>
        <w:autoSpaceDE w:val="0"/>
        <w:autoSpaceDN w:val="0"/>
        <w:spacing w:after="0" w:line="360" w:lineRule="auto"/>
        <w:jc w:val="center"/>
        <w:rPr>
          <w:rFonts w:ascii="黑体" w:hAnsi="华文中宋" w:eastAsia="黑体" w:cs="华文中宋"/>
          <w:color w:val="auto"/>
          <w:sz w:val="30"/>
          <w:szCs w:val="30"/>
        </w:rPr>
      </w:pPr>
      <w:r>
        <w:rPr>
          <w:rFonts w:hint="eastAsia" w:ascii="黑体" w:hAnsi="华文中宋" w:eastAsia="黑体" w:cs="华文中宋"/>
          <w:color w:val="auto"/>
          <w:sz w:val="30"/>
          <w:szCs w:val="30"/>
        </w:rPr>
        <w:t>2020年</w:t>
      </w:r>
      <w:r>
        <w:rPr>
          <w:rFonts w:hint="eastAsia" w:ascii="黑体" w:hAnsi="华文中宋" w:eastAsia="黑体" w:cs="华文中宋"/>
          <w:color w:val="auto"/>
          <w:sz w:val="30"/>
          <w:szCs w:val="30"/>
          <w:lang w:val="en-US" w:eastAsia="zh-CN"/>
        </w:rPr>
        <w:t>4</w:t>
      </w:r>
      <w:r>
        <w:rPr>
          <w:rFonts w:hint="eastAsia" w:ascii="黑体" w:hAnsi="华文中宋" w:eastAsia="黑体" w:cs="华文中宋"/>
          <w:color w:val="auto"/>
          <w:sz w:val="30"/>
          <w:szCs w:val="30"/>
        </w:rPr>
        <w:t>月</w:t>
      </w:r>
    </w:p>
    <w:p>
      <w:pPr>
        <w:widowControl w:val="0"/>
        <w:autoSpaceDE w:val="0"/>
        <w:autoSpaceDN w:val="0"/>
        <w:spacing w:beforeLines="50" w:afterLines="50" w:line="360" w:lineRule="auto"/>
        <w:jc w:val="center"/>
        <w:rPr>
          <w:rFonts w:ascii="宋体" w:hAnsi="宋体" w:eastAsia="宋体" w:cs="宋体"/>
          <w:b/>
          <w:color w:val="auto"/>
          <w:sz w:val="44"/>
          <w:szCs w:val="44"/>
        </w:rPr>
      </w:pPr>
      <w:r>
        <w:rPr>
          <w:rFonts w:hint="eastAsia" w:ascii="黑体" w:hAnsi="华文中宋" w:eastAsia="黑体" w:cs="华文中宋"/>
          <w:color w:val="auto"/>
          <w:sz w:val="30"/>
          <w:szCs w:val="30"/>
        </w:rPr>
        <w:br w:type="page"/>
      </w:r>
      <w:r>
        <w:rPr>
          <w:rFonts w:hint="eastAsia" w:ascii="宋体" w:hAnsi="宋体" w:eastAsia="宋体" w:cs="宋体"/>
          <w:b/>
          <w:color w:val="auto"/>
          <w:sz w:val="44"/>
          <w:szCs w:val="44"/>
        </w:rPr>
        <w:t>温馨提示！！！</w:t>
      </w:r>
    </w:p>
    <w:p>
      <w:pPr>
        <w:widowControl w:val="0"/>
        <w:tabs>
          <w:tab w:val="left" w:pos="0"/>
        </w:tabs>
        <w:autoSpaceDE w:val="0"/>
        <w:autoSpaceDN w:val="0"/>
        <w:spacing w:beforeLines="50" w:afterLines="50" w:line="360" w:lineRule="auto"/>
        <w:jc w:val="center"/>
        <w:rPr>
          <w:rFonts w:ascii="宋体" w:hAnsi="宋体" w:eastAsia="宋体" w:cs="宋体"/>
          <w:color w:val="auto"/>
        </w:rPr>
      </w:pPr>
      <w:r>
        <w:rPr>
          <w:rFonts w:hint="eastAsia" w:ascii="宋体" w:hAnsi="宋体" w:eastAsia="宋体" w:cs="宋体"/>
          <w:color w:val="auto"/>
          <w:sz w:val="21"/>
          <w:szCs w:val="21"/>
        </w:rPr>
        <w:t>（本提示内容非采购文件的组成部分，仅为善意提醒。如有不一致的地方，以采购文件为准）</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如无另行说明，响应文件递交时间为提交响应文件截止时间</w:t>
      </w:r>
      <w:r>
        <w:rPr>
          <w:rFonts w:hint="eastAsia" w:ascii="宋体" w:hAnsi="宋体" w:eastAsia="宋体" w:cs="宋体"/>
          <w:b/>
          <w:color w:val="auto"/>
          <w:sz w:val="21"/>
          <w:szCs w:val="21"/>
          <w:u w:val="single"/>
        </w:rPr>
        <w:t>前30分钟</w:t>
      </w:r>
      <w:r>
        <w:rPr>
          <w:rFonts w:hint="eastAsia" w:ascii="宋体" w:hAnsi="宋体" w:eastAsia="宋体" w:cs="宋体"/>
          <w:color w:val="auto"/>
          <w:sz w:val="21"/>
          <w:szCs w:val="21"/>
        </w:rPr>
        <w:t>内。</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本项目须法定代表人或授权代表到场参与磋商，为避免因迟到而失去投标资格，请</w:t>
      </w:r>
      <w:r>
        <w:rPr>
          <w:rFonts w:hint="eastAsia" w:ascii="宋体" w:hAnsi="宋体" w:eastAsia="宋体" w:cs="宋体"/>
          <w:b/>
          <w:color w:val="auto"/>
          <w:sz w:val="21"/>
          <w:szCs w:val="21"/>
          <w:u w:val="single"/>
        </w:rPr>
        <w:t>适当提前到达</w:t>
      </w:r>
      <w:r>
        <w:rPr>
          <w:rFonts w:hint="eastAsia" w:ascii="宋体" w:hAnsi="宋体" w:eastAsia="宋体" w:cs="宋体"/>
          <w:color w:val="auto"/>
          <w:sz w:val="21"/>
          <w:szCs w:val="21"/>
        </w:rPr>
        <w:t>。</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响应文件应按顺序</w:t>
      </w:r>
      <w:r>
        <w:rPr>
          <w:rFonts w:hint="eastAsia" w:ascii="宋体" w:hAnsi="宋体" w:eastAsia="宋体" w:cs="宋体"/>
          <w:b/>
          <w:color w:val="auto"/>
          <w:sz w:val="21"/>
          <w:szCs w:val="21"/>
          <w:u w:val="single"/>
        </w:rPr>
        <w:t>编制页码</w:t>
      </w:r>
      <w:r>
        <w:rPr>
          <w:rFonts w:hint="eastAsia" w:ascii="宋体" w:hAnsi="宋体" w:eastAsia="宋体" w:cs="宋体"/>
          <w:color w:val="auto"/>
          <w:sz w:val="21"/>
          <w:szCs w:val="21"/>
        </w:rPr>
        <w:t>。</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请仔细检查响应文件是否已按采购文件要求</w:t>
      </w:r>
      <w:r>
        <w:rPr>
          <w:rFonts w:hint="eastAsia" w:ascii="宋体" w:hAnsi="宋体" w:eastAsia="宋体" w:cs="宋体"/>
          <w:b/>
          <w:color w:val="auto"/>
          <w:sz w:val="21"/>
          <w:szCs w:val="21"/>
          <w:u w:val="single"/>
        </w:rPr>
        <w:t>盖章、签名、签署日期</w:t>
      </w:r>
      <w:r>
        <w:rPr>
          <w:rFonts w:hint="eastAsia" w:ascii="宋体" w:hAnsi="宋体" w:eastAsia="宋体" w:cs="宋体"/>
          <w:color w:val="auto"/>
          <w:sz w:val="21"/>
          <w:szCs w:val="21"/>
        </w:rPr>
        <w:t>。</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请正确填写《报价表》。</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如投标产品属于许可证管理范围内的，须提交相应的许可证复印件。</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首次参与政府采购项目投标的供应商，应在获取磋商文件后最迟必须于</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前一日登录广东省政府采购网（办事指南链接：</w:t>
      </w:r>
      <w:r>
        <w:rPr>
          <w:color w:val="auto"/>
        </w:rPr>
        <w:fldChar w:fldCharType="begin"/>
      </w:r>
      <w:r>
        <w:rPr>
          <w:color w:val="auto"/>
        </w:rPr>
        <w:instrText xml:space="preserve"> HYPERLINK "http://www.gdgpo.com/workEnchiridion.html" </w:instrText>
      </w:r>
      <w:r>
        <w:rPr>
          <w:color w:val="auto"/>
        </w:rPr>
        <w:fldChar w:fldCharType="separate"/>
      </w:r>
      <w:r>
        <w:rPr>
          <w:rStyle w:val="26"/>
          <w:color w:val="auto"/>
          <w:u w:val="none"/>
        </w:rPr>
        <w:t>http://www.gdgpo.com/workEnchiridion.html</w:t>
      </w:r>
      <w:r>
        <w:rPr>
          <w:rStyle w:val="26"/>
          <w:color w:val="auto"/>
          <w:u w:val="none"/>
        </w:rPr>
        <w:fldChar w:fldCharType="end"/>
      </w:r>
      <w:r>
        <w:rPr>
          <w:rFonts w:hint="eastAsia" w:ascii="宋体" w:hAnsi="宋体" w:eastAsia="宋体" w:cs="宋体"/>
          <w:color w:val="auto"/>
          <w:sz w:val="21"/>
          <w:szCs w:val="21"/>
        </w:rPr>
        <w:t>）进行注册。（注:已注册过账号的供应商请忽略此信息。）</w:t>
      </w:r>
    </w:p>
    <w:p>
      <w:pPr>
        <w:widowControl w:val="0"/>
        <w:numPr>
          <w:ilvl w:val="0"/>
          <w:numId w:val="2"/>
        </w:numPr>
        <w:tabs>
          <w:tab w:val="left" w:pos="709"/>
        </w:tabs>
        <w:autoSpaceDN w:val="0"/>
        <w:adjustRightInd/>
        <w:spacing w:after="0" w:line="360" w:lineRule="auto"/>
        <w:ind w:left="700" w:hanging="700"/>
        <w:jc w:val="both"/>
        <w:rPr>
          <w:rFonts w:ascii="宋体" w:hAnsi="宋体" w:eastAsia="宋体" w:cs="宋体"/>
          <w:color w:val="auto"/>
        </w:rPr>
      </w:pPr>
      <w:r>
        <w:rPr>
          <w:rFonts w:hint="eastAsia" w:ascii="宋体" w:hAnsi="宋体" w:eastAsia="宋体" w:cs="宋体"/>
          <w:color w:val="auto"/>
          <w:sz w:val="21"/>
          <w:szCs w:val="21"/>
        </w:rPr>
        <w:t>响应供应商如需对项目提出询问或质疑，应按采购文件附件中的询问函和质疑函的格式提交。</w:t>
      </w:r>
    </w:p>
    <w:p>
      <w:pPr>
        <w:spacing w:line="360" w:lineRule="auto"/>
        <w:rPr>
          <w:rFonts w:ascii="黑体" w:hAnsi="华文中宋" w:eastAsia="黑体" w:cs="华文中宋"/>
          <w:color w:val="auto"/>
          <w:sz w:val="30"/>
          <w:szCs w:val="30"/>
        </w:rPr>
        <w:sectPr>
          <w:headerReference r:id="rId3" w:type="default"/>
          <w:footerReference r:id="rId4" w:type="default"/>
          <w:pgSz w:w="11915" w:h="16839"/>
          <w:pgMar w:top="1418" w:right="1135" w:bottom="1135" w:left="1135" w:header="850" w:footer="850" w:gutter="0"/>
          <w:pgBorders>
            <w:top w:val="none" w:sz="0" w:space="0"/>
            <w:left w:val="none" w:sz="0" w:space="0"/>
            <w:bottom w:val="none" w:sz="0" w:space="0"/>
            <w:right w:val="none" w:sz="0" w:space="0"/>
          </w:pgBorders>
          <w:pgNumType w:start="1"/>
          <w:cols w:space="708" w:num="1"/>
          <w:titlePg/>
          <w:docGrid w:linePitch="360" w:charSpace="0"/>
        </w:sectPr>
      </w:pPr>
    </w:p>
    <w:p>
      <w:pPr>
        <w:widowControl w:val="0"/>
        <w:autoSpaceDE w:val="0"/>
        <w:autoSpaceDN w:val="0"/>
        <w:spacing w:after="0" w:line="360" w:lineRule="auto"/>
        <w:jc w:val="center"/>
        <w:rPr>
          <w:rFonts w:ascii="黑体" w:hAnsi="Times New Roman" w:eastAsia="黑体" w:cs="黑体"/>
          <w:color w:val="auto"/>
          <w:sz w:val="30"/>
          <w:szCs w:val="30"/>
        </w:rPr>
      </w:pPr>
      <w:r>
        <w:rPr>
          <w:rFonts w:hint="eastAsia" w:ascii="宋体" w:hAnsi="宋体" w:eastAsia="宋体" w:cs="黑体"/>
          <w:b/>
          <w:color w:val="auto"/>
          <w:sz w:val="44"/>
          <w:szCs w:val="44"/>
          <w:lang w:eastAsia="zh-TW"/>
        </w:rPr>
        <w:t>目　　录</w:t>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TOC \o "1-1" \h \z \u </w:instrText>
      </w:r>
      <w:r>
        <w:rPr>
          <w:color w:val="auto"/>
        </w:rPr>
        <w:fldChar w:fldCharType="separate"/>
      </w:r>
      <w:r>
        <w:rPr>
          <w:color w:val="auto"/>
        </w:rPr>
        <w:fldChar w:fldCharType="begin"/>
      </w:r>
      <w:r>
        <w:rPr>
          <w:color w:val="auto"/>
        </w:rPr>
        <w:instrText xml:space="preserve"> HYPERLINK \l "_Toc19816" </w:instrText>
      </w:r>
      <w:r>
        <w:rPr>
          <w:color w:val="auto"/>
        </w:rPr>
        <w:fldChar w:fldCharType="separate"/>
      </w:r>
      <w:r>
        <w:rPr>
          <w:rFonts w:ascii="Times New Roman" w:hAnsi="Times New Roman" w:cs="宋体"/>
          <w:color w:val="auto"/>
          <w:szCs w:val="28"/>
        </w:rPr>
        <w:t>第一章</w:t>
      </w:r>
      <w:r>
        <w:rPr>
          <w:rFonts w:ascii="Times New Roman" w:hAnsi="Times New Roman"/>
          <w:color w:val="auto"/>
          <w:szCs w:val="28"/>
        </w:rPr>
        <w:t xml:space="preserve">  </w:t>
      </w:r>
      <w:r>
        <w:rPr>
          <w:rFonts w:ascii="Times New Roman" w:hAnsi="Times New Roman" w:cs="宋体"/>
          <w:color w:val="auto"/>
          <w:szCs w:val="28"/>
        </w:rPr>
        <w:t>磋商邀请</w:t>
      </w:r>
      <w:r>
        <w:rPr>
          <w:color w:val="auto"/>
        </w:rPr>
        <w:tab/>
      </w:r>
      <w:r>
        <w:rPr>
          <w:color w:val="auto"/>
        </w:rPr>
        <w:fldChar w:fldCharType="begin"/>
      </w:r>
      <w:r>
        <w:rPr>
          <w:color w:val="auto"/>
        </w:rPr>
        <w:instrText xml:space="preserve"> PAGEREF _Toc19816 </w:instrText>
      </w:r>
      <w:r>
        <w:rPr>
          <w:color w:val="auto"/>
        </w:rPr>
        <w:fldChar w:fldCharType="separate"/>
      </w:r>
      <w:r>
        <w:rPr>
          <w:color w:val="auto"/>
        </w:rPr>
        <w:t>4</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"_Toc7704" </w:instrText>
      </w:r>
      <w:r>
        <w:rPr>
          <w:color w:val="auto"/>
        </w:rPr>
        <w:fldChar w:fldCharType="separate"/>
      </w:r>
      <w:r>
        <w:rPr>
          <w:rFonts w:cs="宋体"/>
          <w:color w:val="auto"/>
        </w:rPr>
        <w:t>第二章</w:t>
      </w:r>
      <w:r>
        <w:rPr>
          <w:color w:val="auto"/>
        </w:rPr>
        <w:t xml:space="preserve">  </w:t>
      </w:r>
      <w:r>
        <w:rPr>
          <w:rFonts w:cs="宋体"/>
          <w:color w:val="auto"/>
        </w:rPr>
        <w:t>磋商资料表</w:t>
      </w:r>
      <w:r>
        <w:rPr>
          <w:color w:val="auto"/>
        </w:rPr>
        <w:tab/>
      </w:r>
      <w:r>
        <w:rPr>
          <w:color w:val="auto"/>
        </w:rPr>
        <w:fldChar w:fldCharType="begin"/>
      </w:r>
      <w:r>
        <w:rPr>
          <w:color w:val="auto"/>
        </w:rPr>
        <w:instrText xml:space="preserve"> PAGEREF _Toc7704 </w:instrText>
      </w:r>
      <w:r>
        <w:rPr>
          <w:color w:val="auto"/>
        </w:rPr>
        <w:fldChar w:fldCharType="separate"/>
      </w:r>
      <w:r>
        <w:rPr>
          <w:color w:val="auto"/>
        </w:rPr>
        <w:t>7</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"_Toc8290" </w:instrText>
      </w:r>
      <w:r>
        <w:rPr>
          <w:color w:val="auto"/>
        </w:rPr>
        <w:fldChar w:fldCharType="separate"/>
      </w:r>
      <w:r>
        <w:rPr>
          <w:rFonts w:cs="宋体"/>
          <w:color w:val="auto"/>
        </w:rPr>
        <w:t>第三章</w:t>
      </w:r>
      <w:r>
        <w:rPr>
          <w:color w:val="auto"/>
        </w:rPr>
        <w:t xml:space="preserve">  </w:t>
      </w:r>
      <w:r>
        <w:rPr>
          <w:rFonts w:cs="宋体"/>
          <w:color w:val="auto"/>
        </w:rPr>
        <w:t>评分体系与标准</w:t>
      </w:r>
      <w:r>
        <w:rPr>
          <w:color w:val="auto"/>
        </w:rPr>
        <w:tab/>
      </w:r>
      <w:r>
        <w:rPr>
          <w:color w:val="auto"/>
        </w:rPr>
        <w:fldChar w:fldCharType="begin"/>
      </w:r>
      <w:r>
        <w:rPr>
          <w:color w:val="auto"/>
        </w:rPr>
        <w:instrText xml:space="preserve"> PAGEREF _Toc8290 </w:instrText>
      </w:r>
      <w:r>
        <w:rPr>
          <w:color w:val="auto"/>
        </w:rPr>
        <w:fldChar w:fldCharType="separate"/>
      </w:r>
      <w:r>
        <w:rPr>
          <w:color w:val="auto"/>
        </w:rPr>
        <w:t>9</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"_Toc11363" </w:instrText>
      </w:r>
      <w:r>
        <w:rPr>
          <w:color w:val="auto"/>
        </w:rPr>
        <w:fldChar w:fldCharType="separate"/>
      </w:r>
      <w:r>
        <w:rPr>
          <w:rFonts w:cs="宋体"/>
          <w:color w:val="auto"/>
        </w:rPr>
        <w:t>第四章</w:t>
      </w:r>
      <w:r>
        <w:rPr>
          <w:color w:val="auto"/>
        </w:rPr>
        <w:t xml:space="preserve">  </w:t>
      </w:r>
      <w:r>
        <w:rPr>
          <w:rFonts w:cs="宋体"/>
          <w:color w:val="auto"/>
        </w:rPr>
        <w:t>用户需求书</w:t>
      </w:r>
      <w:r>
        <w:rPr>
          <w:color w:val="auto"/>
        </w:rPr>
        <w:tab/>
      </w:r>
      <w:r>
        <w:rPr>
          <w:color w:val="auto"/>
        </w:rPr>
        <w:fldChar w:fldCharType="begin"/>
      </w:r>
      <w:r>
        <w:rPr>
          <w:color w:val="auto"/>
        </w:rPr>
        <w:instrText xml:space="preserve"> PAGEREF _Toc11363 </w:instrText>
      </w:r>
      <w:r>
        <w:rPr>
          <w:color w:val="auto"/>
        </w:rPr>
        <w:fldChar w:fldCharType="separate"/>
      </w:r>
      <w:r>
        <w:rPr>
          <w:color w:val="auto"/>
        </w:rPr>
        <w:t>15</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"_Toc16372" </w:instrText>
      </w:r>
      <w:r>
        <w:rPr>
          <w:color w:val="auto"/>
        </w:rPr>
        <w:fldChar w:fldCharType="separate"/>
      </w:r>
      <w:r>
        <w:rPr>
          <w:rFonts w:ascii="Times New Roman" w:hAnsi="Times New Roman" w:cs="宋体"/>
          <w:color w:val="auto"/>
          <w:szCs w:val="28"/>
        </w:rPr>
        <w:t>第五章</w:t>
      </w:r>
      <w:r>
        <w:rPr>
          <w:rFonts w:ascii="Times New Roman" w:hAnsi="Times New Roman"/>
          <w:color w:val="auto"/>
          <w:szCs w:val="28"/>
        </w:rPr>
        <w:t xml:space="preserve">  </w:t>
      </w:r>
      <w:r>
        <w:rPr>
          <w:rFonts w:ascii="Times New Roman" w:hAnsi="Times New Roman" w:cs="宋体"/>
          <w:color w:val="auto"/>
          <w:szCs w:val="28"/>
        </w:rPr>
        <w:t>合同文本</w:t>
      </w:r>
      <w:r>
        <w:rPr>
          <w:color w:val="auto"/>
        </w:rPr>
        <w:tab/>
      </w:r>
      <w:r>
        <w:rPr>
          <w:color w:val="auto"/>
        </w:rPr>
        <w:fldChar w:fldCharType="begin"/>
      </w:r>
      <w:r>
        <w:rPr>
          <w:color w:val="auto"/>
        </w:rPr>
        <w:instrText xml:space="preserve"> PAGEREF _Toc16372 </w:instrText>
      </w:r>
      <w:r>
        <w:rPr>
          <w:color w:val="auto"/>
        </w:rPr>
        <w:fldChar w:fldCharType="separate"/>
      </w:r>
      <w:r>
        <w:rPr>
          <w:color w:val="auto"/>
        </w:rPr>
        <w:t>20</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"_Toc19953" </w:instrText>
      </w:r>
      <w:r>
        <w:rPr>
          <w:color w:val="auto"/>
        </w:rPr>
        <w:fldChar w:fldCharType="separate"/>
      </w:r>
      <w:r>
        <w:rPr>
          <w:rFonts w:cs="宋体"/>
          <w:color w:val="auto"/>
        </w:rPr>
        <w:t>第六章</w:t>
      </w:r>
      <w:r>
        <w:rPr>
          <w:color w:val="auto"/>
        </w:rPr>
        <w:t xml:space="preserve">  </w:t>
      </w:r>
      <w:r>
        <w:rPr>
          <w:rFonts w:cs="宋体"/>
          <w:color w:val="auto"/>
        </w:rPr>
        <w:t>响应文件格式</w:t>
      </w:r>
      <w:r>
        <w:rPr>
          <w:color w:val="auto"/>
        </w:rPr>
        <w:tab/>
      </w:r>
      <w:r>
        <w:rPr>
          <w:color w:val="auto"/>
        </w:rPr>
        <w:fldChar w:fldCharType="begin"/>
      </w:r>
      <w:r>
        <w:rPr>
          <w:color w:val="auto"/>
        </w:rPr>
        <w:instrText xml:space="preserve"> PAGEREF _Toc19953 </w:instrText>
      </w:r>
      <w:r>
        <w:rPr>
          <w:color w:val="auto"/>
        </w:rPr>
        <w:fldChar w:fldCharType="separate"/>
      </w:r>
      <w:r>
        <w:rPr>
          <w:color w:val="auto"/>
        </w:rPr>
        <w:t>28</w:t>
      </w:r>
      <w:r>
        <w:rPr>
          <w:color w:val="auto"/>
        </w:rPr>
        <w:fldChar w:fldCharType="end"/>
      </w:r>
      <w:r>
        <w:rPr>
          <w:color w:val="auto"/>
        </w:rPr>
        <w:fldChar w:fldCharType="end"/>
      </w:r>
    </w:p>
    <w:p>
      <w:pPr>
        <w:pStyle w:val="14"/>
        <w:tabs>
          <w:tab w:val="right" w:leader="dot" w:pos="9636"/>
          <w:tab w:val="clear" w:pos="420"/>
          <w:tab w:val="clear" w:pos="8943"/>
        </w:tabs>
        <w:rPr>
          <w:rFonts w:hint="default"/>
          <w:color w:val="auto"/>
        </w:rPr>
      </w:pPr>
      <w:r>
        <w:rPr>
          <w:color w:val="auto"/>
        </w:rPr>
        <w:fldChar w:fldCharType="begin"/>
      </w:r>
      <w:r>
        <w:rPr>
          <w:color w:val="auto"/>
        </w:rPr>
        <w:instrText xml:space="preserve"> HYPERLINK \l "_Toc15256" </w:instrText>
      </w:r>
      <w:r>
        <w:rPr>
          <w:color w:val="auto"/>
        </w:rPr>
        <w:fldChar w:fldCharType="separate"/>
      </w:r>
      <w:r>
        <w:rPr>
          <w:rFonts w:cs="宋体"/>
          <w:color w:val="auto"/>
        </w:rPr>
        <w:t>第七章</w:t>
      </w:r>
      <w:r>
        <w:rPr>
          <w:color w:val="auto"/>
        </w:rPr>
        <w:t xml:space="preserve">  </w:t>
      </w:r>
      <w:r>
        <w:rPr>
          <w:rFonts w:cs="宋体"/>
          <w:color w:val="auto"/>
        </w:rPr>
        <w:t>磋</w:t>
      </w:r>
      <w:r>
        <w:rPr>
          <w:color w:val="auto"/>
        </w:rPr>
        <w:t xml:space="preserve"> </w:t>
      </w:r>
      <w:r>
        <w:rPr>
          <w:rFonts w:cs="宋体"/>
          <w:color w:val="auto"/>
        </w:rPr>
        <w:t>商</w:t>
      </w:r>
      <w:r>
        <w:rPr>
          <w:color w:val="auto"/>
        </w:rPr>
        <w:t xml:space="preserve"> </w:t>
      </w:r>
      <w:r>
        <w:rPr>
          <w:rFonts w:cs="宋体"/>
          <w:color w:val="auto"/>
        </w:rPr>
        <w:t>须</w:t>
      </w:r>
      <w:r>
        <w:rPr>
          <w:color w:val="auto"/>
        </w:rPr>
        <w:t xml:space="preserve"> </w:t>
      </w:r>
      <w:r>
        <w:rPr>
          <w:rFonts w:cs="宋体"/>
          <w:color w:val="auto"/>
        </w:rPr>
        <w:t>知</w:t>
      </w:r>
      <w:r>
        <w:rPr>
          <w:color w:val="auto"/>
        </w:rPr>
        <w:tab/>
      </w:r>
      <w:r>
        <w:rPr>
          <w:color w:val="auto"/>
        </w:rPr>
        <w:fldChar w:fldCharType="begin"/>
      </w:r>
      <w:r>
        <w:rPr>
          <w:color w:val="auto"/>
        </w:rPr>
        <w:instrText xml:space="preserve"> PAGEREF _Toc15256 </w:instrText>
      </w:r>
      <w:r>
        <w:rPr>
          <w:color w:val="auto"/>
        </w:rPr>
        <w:fldChar w:fldCharType="separate"/>
      </w:r>
      <w:r>
        <w:rPr>
          <w:color w:val="auto"/>
        </w:rPr>
        <w:t>47</w:t>
      </w:r>
      <w:r>
        <w:rPr>
          <w:color w:val="auto"/>
        </w:rPr>
        <w:fldChar w:fldCharType="end"/>
      </w:r>
      <w:r>
        <w:rPr>
          <w:color w:val="auto"/>
        </w:rPr>
        <w:fldChar w:fldCharType="end"/>
      </w:r>
    </w:p>
    <w:p>
      <w:pPr>
        <w:widowControl w:val="0"/>
        <w:autoSpaceDE w:val="0"/>
        <w:autoSpaceDN w:val="0"/>
        <w:spacing w:after="0"/>
        <w:rPr>
          <w:rFonts w:ascii="宋体" w:hAnsi="宋体" w:eastAsia="宋体" w:cs="宋体"/>
          <w:color w:val="auto"/>
        </w:rPr>
      </w:pPr>
      <w:r>
        <w:rPr>
          <w:rFonts w:hint="eastAsia" w:ascii="宋体" w:hAnsi="宋体" w:eastAsia="宋体" w:cs="宋体"/>
          <w:color w:val="auto"/>
          <w:szCs w:val="21"/>
        </w:rPr>
        <w:fldChar w:fldCharType="end"/>
      </w:r>
    </w:p>
    <w:p>
      <w:pPr>
        <w:widowControl w:val="0"/>
        <w:autoSpaceDE w:val="0"/>
        <w:autoSpaceDN w:val="0"/>
        <w:spacing w:after="0" w:line="360" w:lineRule="auto"/>
        <w:jc w:val="center"/>
        <w:outlineLvl w:val="0"/>
        <w:rPr>
          <w:b/>
          <w:color w:val="auto"/>
          <w:sz w:val="28"/>
          <w:szCs w:val="28"/>
        </w:rPr>
      </w:pPr>
      <w:r>
        <w:rPr>
          <w:rFonts w:ascii="Times New Roman" w:hAnsi="Times New Roman" w:eastAsia="隶书" w:cs="隶书"/>
          <w:color w:val="auto"/>
          <w:sz w:val="28"/>
          <w:szCs w:val="28"/>
        </w:rPr>
        <w:br w:type="page"/>
      </w:r>
      <w:bookmarkStart w:id="0" w:name="_Toc19816"/>
      <w:bookmarkStart w:id="1" w:name="_Toc435614385"/>
      <w:r>
        <w:rPr>
          <w:rFonts w:hint="eastAsia" w:ascii="Times New Roman" w:hAnsi="Times New Roman" w:eastAsia="宋体" w:cs="宋体"/>
          <w:b/>
          <w:color w:val="auto"/>
          <w:sz w:val="28"/>
          <w:szCs w:val="28"/>
        </w:rPr>
        <w:t>第一章</w:t>
      </w:r>
      <w:r>
        <w:rPr>
          <w:rFonts w:ascii="Times New Roman" w:hAnsi="Times New Roman" w:eastAsia="宋体" w:cs="Times New Roman"/>
          <w:b/>
          <w:color w:val="auto"/>
          <w:sz w:val="28"/>
          <w:szCs w:val="28"/>
        </w:rPr>
        <w:t xml:space="preserve">  </w:t>
      </w:r>
      <w:r>
        <w:rPr>
          <w:rFonts w:hint="eastAsia" w:ascii="Times New Roman" w:hAnsi="Times New Roman" w:eastAsia="宋体" w:cs="宋体"/>
          <w:b/>
          <w:color w:val="auto"/>
          <w:sz w:val="28"/>
          <w:szCs w:val="28"/>
        </w:rPr>
        <w:t>磋商邀请</w:t>
      </w:r>
      <w:bookmarkEnd w:id="0"/>
      <w:bookmarkEnd w:id="1"/>
    </w:p>
    <w:p>
      <w:pPr>
        <w:widowControl w:val="0"/>
        <w:autoSpaceDE w:val="0"/>
        <w:autoSpaceDN w:val="0"/>
        <w:spacing w:after="0" w:line="360" w:lineRule="auto"/>
        <w:ind w:firstLine="420" w:firstLineChars="200"/>
        <w:rPr>
          <w:rFonts w:ascii="宋体" w:hAnsi="宋体" w:eastAsia="宋体" w:cs="宋体"/>
          <w:bCs/>
          <w:color w:val="auto"/>
        </w:rPr>
      </w:pPr>
      <w:r>
        <w:rPr>
          <w:rFonts w:hint="eastAsia" w:ascii="宋体" w:hAnsi="宋体" w:eastAsia="宋体" w:cs="宋体"/>
          <w:color w:val="auto"/>
          <w:sz w:val="21"/>
          <w:szCs w:val="21"/>
        </w:rPr>
        <w:t>广州公信招标有限公司（以下简称‘采购代理机构’）受广州市白云区消防救援大队</w:t>
      </w:r>
      <w:r>
        <w:rPr>
          <w:rFonts w:hint="eastAsia" w:ascii="宋体" w:hAnsi="宋体" w:eastAsia="宋体" w:cs="宋体"/>
          <w:bCs/>
          <w:color w:val="auto"/>
          <w:sz w:val="21"/>
          <w:szCs w:val="21"/>
        </w:rPr>
        <w:t>（以下简称</w:t>
      </w:r>
      <w:r>
        <w:rPr>
          <w:rFonts w:hint="eastAsia" w:ascii="宋体" w:hAnsi="宋体" w:eastAsia="宋体" w:cs="宋体"/>
          <w:color w:val="auto"/>
          <w:sz w:val="21"/>
          <w:szCs w:val="21"/>
        </w:rPr>
        <w:t>‘</w:t>
      </w:r>
      <w:r>
        <w:rPr>
          <w:rFonts w:hint="eastAsia" w:ascii="宋体" w:hAnsi="宋体" w:eastAsia="宋体" w:cs="宋体"/>
          <w:bCs/>
          <w:color w:val="auto"/>
          <w:sz w:val="21"/>
          <w:szCs w:val="21"/>
        </w:rPr>
        <w:t>采购人</w:t>
      </w:r>
      <w:r>
        <w:rPr>
          <w:rFonts w:hint="eastAsia" w:ascii="宋体" w:hAnsi="宋体" w:eastAsia="宋体" w:cs="宋体"/>
          <w:color w:val="auto"/>
          <w:sz w:val="21"/>
          <w:szCs w:val="21"/>
        </w:rPr>
        <w:t>’</w:t>
      </w:r>
      <w:r>
        <w:rPr>
          <w:rFonts w:hint="eastAsia" w:ascii="宋体" w:hAnsi="宋体" w:eastAsia="宋体" w:cs="宋体"/>
          <w:bCs/>
          <w:color w:val="auto"/>
          <w:sz w:val="21"/>
          <w:szCs w:val="21"/>
        </w:rPr>
        <w:t>）的委托，</w:t>
      </w:r>
      <w:r>
        <w:rPr>
          <w:rFonts w:hint="eastAsia" w:ascii="宋体" w:hAnsi="宋体" w:eastAsia="宋体" w:cs="宋体"/>
          <w:bCs/>
          <w:color w:val="auto"/>
          <w:sz w:val="21"/>
          <w:szCs w:val="21"/>
          <w:lang w:val="zh-CN"/>
        </w:rPr>
        <w:t>拟</w:t>
      </w:r>
      <w:r>
        <w:rPr>
          <w:rFonts w:hint="eastAsia" w:ascii="宋体" w:hAnsi="宋体" w:eastAsia="宋体" w:cs="宋体"/>
          <w:bCs/>
          <w:color w:val="auto"/>
          <w:sz w:val="21"/>
          <w:szCs w:val="21"/>
        </w:rPr>
        <w:t>对白云区消防救援大队大源村消防安全综合治理项目进行竞争性磋商采购，欢迎符合资格条件的供应商参加。</w:t>
      </w:r>
    </w:p>
    <w:p>
      <w:pPr>
        <w:widowControl w:val="0"/>
        <w:numPr>
          <w:ilvl w:val="0"/>
          <w:numId w:val="3"/>
        </w:numPr>
        <w:tabs>
          <w:tab w:val="left" w:pos="567"/>
        </w:tabs>
        <w:autoSpaceDN w:val="0"/>
        <w:adjustRightInd/>
        <w:spacing w:after="0" w:line="360" w:lineRule="auto"/>
        <w:ind w:left="426"/>
        <w:jc w:val="both"/>
        <w:rPr>
          <w:rFonts w:ascii="宋体" w:hAnsi="宋体" w:eastAsia="宋体" w:cs="宋体"/>
          <w:bCs/>
          <w:color w:val="auto"/>
        </w:rPr>
      </w:pPr>
      <w:r>
        <w:rPr>
          <w:rFonts w:hint="eastAsia" w:ascii="宋体" w:hAnsi="宋体" w:eastAsia="宋体" w:cs="宋体"/>
          <w:bCs/>
          <w:color w:val="auto"/>
          <w:sz w:val="21"/>
          <w:szCs w:val="21"/>
        </w:rPr>
        <w:t>采购项目编号：GZGX20GZ00ZC-33（</w:t>
      </w:r>
      <w:r>
        <w:rPr>
          <w:rFonts w:hint="eastAsia" w:ascii="宋体" w:hAnsi="宋体" w:eastAsia="宋体" w:cs="宋体"/>
          <w:color w:val="auto"/>
          <w:sz w:val="21"/>
          <w:szCs w:val="21"/>
        </w:rPr>
        <w:t>省网采购计划编号：440111-202004-105840-0003</w:t>
      </w:r>
      <w:r>
        <w:rPr>
          <w:rFonts w:hint="eastAsia" w:ascii="宋体" w:hAnsi="宋体" w:eastAsia="宋体" w:cs="宋体"/>
          <w:bCs/>
          <w:color w:val="auto"/>
        </w:rPr>
        <w:t>）                                 　</w:t>
      </w:r>
    </w:p>
    <w:p>
      <w:pPr>
        <w:widowControl w:val="0"/>
        <w:numPr>
          <w:ilvl w:val="0"/>
          <w:numId w:val="3"/>
        </w:numPr>
        <w:tabs>
          <w:tab w:val="left" w:pos="567"/>
        </w:tabs>
        <w:autoSpaceDN w:val="0"/>
        <w:adjustRightInd/>
        <w:spacing w:after="0" w:line="360" w:lineRule="auto"/>
        <w:ind w:left="426"/>
        <w:jc w:val="both"/>
        <w:rPr>
          <w:rFonts w:ascii="宋体" w:hAnsi="宋体" w:eastAsia="宋体" w:cs="宋体"/>
          <w:bCs/>
          <w:color w:val="auto"/>
        </w:rPr>
      </w:pPr>
      <w:r>
        <w:rPr>
          <w:rFonts w:hint="eastAsia" w:ascii="宋体" w:hAnsi="宋体" w:eastAsia="宋体" w:cs="宋体"/>
          <w:bCs/>
          <w:color w:val="auto"/>
          <w:sz w:val="21"/>
          <w:szCs w:val="21"/>
        </w:rPr>
        <w:t>采购项目名称：白云区消防救援大队大源村消防安全综合治理项目</w:t>
      </w:r>
    </w:p>
    <w:p>
      <w:pPr>
        <w:widowControl w:val="0"/>
        <w:numPr>
          <w:ilvl w:val="0"/>
          <w:numId w:val="3"/>
        </w:numPr>
        <w:tabs>
          <w:tab w:val="left" w:pos="567"/>
        </w:tabs>
        <w:autoSpaceDN w:val="0"/>
        <w:adjustRightInd/>
        <w:spacing w:after="0" w:line="360" w:lineRule="auto"/>
        <w:ind w:left="426"/>
        <w:jc w:val="both"/>
        <w:rPr>
          <w:rFonts w:ascii="宋体" w:hAnsi="宋体" w:eastAsia="宋体" w:cs="宋体"/>
          <w:bCs/>
          <w:color w:val="auto"/>
        </w:rPr>
      </w:pPr>
      <w:r>
        <w:rPr>
          <w:rFonts w:hint="eastAsia" w:ascii="宋体" w:hAnsi="宋体" w:eastAsia="宋体" w:cs="宋体"/>
          <w:bCs/>
          <w:color w:val="auto"/>
          <w:sz w:val="21"/>
          <w:szCs w:val="21"/>
        </w:rPr>
        <w:t>采购项目预算金额（元）：2,040,000；</w:t>
      </w:r>
    </w:p>
    <w:p>
      <w:pPr>
        <w:widowControl w:val="0"/>
        <w:numPr>
          <w:ilvl w:val="0"/>
          <w:numId w:val="3"/>
        </w:numPr>
        <w:tabs>
          <w:tab w:val="left" w:pos="567"/>
        </w:tabs>
        <w:autoSpaceDN w:val="0"/>
        <w:adjustRightInd/>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采购数量：C0908-其他专业技术服务；</w:t>
      </w:r>
      <w:r>
        <w:rPr>
          <w:rFonts w:hint="eastAsia" w:ascii="宋体" w:hAnsi="宋体" w:eastAsia="宋体" w:cs="宋体"/>
          <w:bCs/>
          <w:color w:val="auto"/>
        </w:rPr>
        <w:t>1</w:t>
      </w:r>
    </w:p>
    <w:p>
      <w:pPr>
        <w:widowControl w:val="0"/>
        <w:numPr>
          <w:ilvl w:val="0"/>
          <w:numId w:val="3"/>
        </w:numPr>
        <w:tabs>
          <w:tab w:val="left" w:pos="567"/>
        </w:tabs>
        <w:autoSpaceDN w:val="0"/>
        <w:adjustRightInd/>
        <w:spacing w:after="0" w:line="360" w:lineRule="auto"/>
        <w:ind w:left="426"/>
        <w:jc w:val="both"/>
        <w:rPr>
          <w:rFonts w:ascii="宋体" w:hAnsi="宋体" w:eastAsia="宋体" w:cs="宋体"/>
          <w:bCs/>
          <w:color w:val="auto"/>
        </w:rPr>
      </w:pPr>
      <w:r>
        <w:rPr>
          <w:rFonts w:hint="eastAsia" w:ascii="宋体" w:hAnsi="宋体" w:eastAsia="宋体" w:cs="宋体"/>
          <w:bCs/>
          <w:color w:val="auto"/>
          <w:sz w:val="21"/>
          <w:szCs w:val="21"/>
        </w:rPr>
        <w:t>项目内容及需求(采购项目技术规格、参数及要求，需要落实的政府采购政策) ：</w:t>
      </w:r>
    </w:p>
    <w:p>
      <w:pPr>
        <w:widowControl w:val="0"/>
        <w:spacing w:after="0" w:line="360" w:lineRule="auto"/>
        <w:ind w:left="284"/>
        <w:jc w:val="both"/>
        <w:rPr>
          <w:rFonts w:ascii="宋体" w:hAnsi="宋体" w:eastAsia="宋体" w:cs="宋体"/>
          <w:bCs/>
          <w:color w:val="auto"/>
        </w:rPr>
      </w:pPr>
      <w:r>
        <w:rPr>
          <w:rFonts w:hint="eastAsia" w:ascii="宋体" w:hAnsi="宋体" w:eastAsia="宋体" w:cs="宋体"/>
          <w:color w:val="auto"/>
          <w:kern w:val="2"/>
          <w:sz w:val="21"/>
          <w:szCs w:val="24"/>
          <w:shd w:val="clear" w:color="auto" w:fill="FFFFFF"/>
        </w:rPr>
        <w:t>子项目</w:t>
      </w:r>
      <w:r>
        <w:rPr>
          <w:rFonts w:hint="eastAsia" w:ascii="宋体" w:hAnsi="宋体" w:eastAsia="宋体" w:cs="宋体"/>
          <w:color w:val="auto"/>
          <w:kern w:val="2"/>
          <w:sz w:val="21"/>
          <w:szCs w:val="24"/>
        </w:rPr>
        <w:t>1：</w:t>
      </w:r>
      <w:r>
        <w:rPr>
          <w:rFonts w:hint="eastAsia" w:ascii="宋体" w:hAnsi="宋体" w:eastAsia="宋体" w:cs="宋体"/>
          <w:color w:val="auto"/>
          <w:kern w:val="2"/>
          <w:sz w:val="21"/>
          <w:szCs w:val="24"/>
          <w:shd w:val="clear" w:color="auto" w:fill="FFFFFF"/>
        </w:rPr>
        <w:t>编号：</w:t>
      </w:r>
      <w:r>
        <w:rPr>
          <w:rFonts w:hint="eastAsia" w:ascii="宋体" w:hAnsi="宋体" w:eastAsia="宋体" w:cs="宋体"/>
          <w:bCs/>
          <w:color w:val="auto"/>
          <w:sz w:val="21"/>
          <w:szCs w:val="21"/>
        </w:rPr>
        <w:t>GZGX20GZ00ZC-33</w:t>
      </w:r>
      <w:r>
        <w:rPr>
          <w:rFonts w:hint="eastAsia" w:ascii="宋体" w:hAnsi="宋体" w:eastAsia="宋体" w:cs="宋体"/>
          <w:color w:val="auto"/>
          <w:kern w:val="2"/>
          <w:sz w:val="21"/>
          <w:szCs w:val="24"/>
          <w:shd w:val="clear" w:color="auto" w:fill="FFFFFF"/>
        </w:rPr>
        <w:t>、名称：白云区消防救援大队大源村消防安全综合治理项目</w:t>
      </w:r>
      <w:r>
        <w:rPr>
          <w:rFonts w:hint="eastAsia" w:ascii="宋体" w:hAnsi="宋体" w:eastAsia="宋体" w:cs="宋体"/>
          <w:color w:val="auto"/>
          <w:kern w:val="2"/>
          <w:sz w:val="21"/>
          <w:szCs w:val="24"/>
        </w:rPr>
        <w:t xml:space="preserve">          </w:t>
      </w:r>
      <w:r>
        <w:rPr>
          <w:rFonts w:hint="eastAsia" w:ascii="宋体" w:hAnsi="宋体" w:eastAsia="宋体" w:cs="宋体"/>
          <w:color w:val="auto"/>
          <w:kern w:val="2"/>
          <w:sz w:val="21"/>
          <w:szCs w:val="24"/>
          <w:shd w:val="clear" w:color="auto" w:fill="FFFFFF"/>
        </w:rPr>
        <w:t>子项目001预算金额（元）：</w:t>
      </w:r>
      <w:r>
        <w:rPr>
          <w:rFonts w:hint="eastAsia" w:ascii="宋体" w:hAnsi="宋体" w:eastAsia="宋体" w:cs="宋体"/>
          <w:bCs/>
          <w:color w:val="auto"/>
          <w:sz w:val="21"/>
          <w:szCs w:val="21"/>
        </w:rPr>
        <w:t>2040000</w:t>
      </w:r>
      <w:r>
        <w:rPr>
          <w:rFonts w:hint="eastAsia" w:ascii="宋体" w:hAnsi="宋体" w:eastAsia="宋体" w:cs="宋体"/>
          <w:color w:val="auto"/>
          <w:kern w:val="2"/>
          <w:sz w:val="21"/>
          <w:szCs w:val="24"/>
          <w:shd w:val="clear" w:color="auto" w:fill="FFFFFF"/>
        </w:rPr>
        <w:t>、数量：1</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子项目1：最高限价：人民币2040000元</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项目基本概况介绍：根据工作要求，需要在白云区太和镇大源村开展城中村消防安全治理试点工作，主要开展“防消一体化”机制建设、重点场所评估检测、物流仓储消防安全标准管理制度、社区消防器材配置、试点会议布置等工作。</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采购人的具体采购需求：详见磋商文件中的“用户需求书”。</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本项目属于政府采购项目，采购本国产品及</w:t>
      </w:r>
      <w:r>
        <w:rPr>
          <w:rFonts w:ascii="宋体" w:hAnsi="宋体" w:eastAsia="宋体" w:cs="宋体"/>
          <w:bCs/>
          <w:color w:val="auto"/>
          <w:sz w:val="21"/>
          <w:szCs w:val="21"/>
        </w:rPr>
        <w:t>服务</w:t>
      </w:r>
      <w:r>
        <w:rPr>
          <w:rFonts w:hint="eastAsia" w:ascii="宋体" w:hAnsi="宋体" w:eastAsia="宋体" w:cs="宋体"/>
          <w:bCs/>
          <w:color w:val="auto"/>
          <w:sz w:val="21"/>
          <w:szCs w:val="21"/>
        </w:rPr>
        <w:t>。</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政府采购监督管理部门：广州市白云区财政局</w:t>
      </w:r>
    </w:p>
    <w:p>
      <w:pPr>
        <w:widowControl w:val="0"/>
        <w:numPr>
          <w:ilvl w:val="0"/>
          <w:numId w:val="4"/>
        </w:numPr>
        <w:tabs>
          <w:tab w:val="left" w:pos="567"/>
          <w:tab w:val="clear" w:pos="1200"/>
        </w:tabs>
        <w:autoSpaceDN w:val="0"/>
        <w:spacing w:after="0" w:line="360" w:lineRule="auto"/>
        <w:ind w:left="431" w:hanging="363"/>
        <w:jc w:val="both"/>
        <w:rPr>
          <w:rFonts w:ascii="宋体" w:hAnsi="宋体" w:eastAsia="宋体" w:cs="宋体"/>
          <w:bCs/>
          <w:color w:val="auto"/>
        </w:rPr>
      </w:pPr>
      <w:r>
        <w:rPr>
          <w:rFonts w:hint="eastAsia" w:ascii="宋体" w:hAnsi="宋体" w:eastAsia="宋体" w:cs="宋体"/>
          <w:bCs/>
          <w:color w:val="auto"/>
          <w:sz w:val="21"/>
          <w:szCs w:val="21"/>
        </w:rPr>
        <w:t>需要落实的政府采购政策：</w:t>
      </w:r>
    </w:p>
    <w:p>
      <w:pPr>
        <w:widowControl w:val="0"/>
        <w:numPr>
          <w:ilvl w:val="0"/>
          <w:numId w:val="5"/>
        </w:numPr>
        <w:tabs>
          <w:tab w:val="left" w:pos="567"/>
        </w:tabs>
        <w:autoSpaceDN w:val="0"/>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《政府采购促进中小企业发展暂行办法》（财库〔2011〕181号）</w:t>
      </w:r>
    </w:p>
    <w:p>
      <w:pPr>
        <w:widowControl w:val="0"/>
        <w:numPr>
          <w:ilvl w:val="0"/>
          <w:numId w:val="5"/>
        </w:numPr>
        <w:tabs>
          <w:tab w:val="left" w:pos="567"/>
        </w:tabs>
        <w:autoSpaceDN w:val="0"/>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《关于政府采购支持监狱企业发展有关问题的通知》(财库〔2014〕68号)</w:t>
      </w:r>
    </w:p>
    <w:p>
      <w:pPr>
        <w:widowControl w:val="0"/>
        <w:numPr>
          <w:ilvl w:val="0"/>
          <w:numId w:val="5"/>
        </w:numPr>
        <w:tabs>
          <w:tab w:val="left" w:pos="567"/>
        </w:tabs>
        <w:autoSpaceDN w:val="0"/>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 xml:space="preserve">《关于促进残疾人就业政府采购政策的通知》（财库〔2017〕141号) </w:t>
      </w:r>
    </w:p>
    <w:p>
      <w:pPr>
        <w:widowControl w:val="0"/>
        <w:numPr>
          <w:ilvl w:val="0"/>
          <w:numId w:val="5"/>
        </w:numPr>
        <w:tabs>
          <w:tab w:val="left" w:pos="567"/>
        </w:tabs>
        <w:autoSpaceDN w:val="0"/>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《关于印发环境标志产品政府采购品目清单的通知》(财库〔2019〕18号）</w:t>
      </w:r>
    </w:p>
    <w:p>
      <w:pPr>
        <w:widowControl w:val="0"/>
        <w:numPr>
          <w:ilvl w:val="0"/>
          <w:numId w:val="5"/>
        </w:numPr>
        <w:tabs>
          <w:tab w:val="left" w:pos="567"/>
        </w:tabs>
        <w:autoSpaceDN w:val="0"/>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《关于印发节能产品政府采购品目清单的通知》的通知（财库〔2019〕19号）</w:t>
      </w:r>
    </w:p>
    <w:p>
      <w:pPr>
        <w:widowControl w:val="0"/>
        <w:numPr>
          <w:ilvl w:val="0"/>
          <w:numId w:val="3"/>
        </w:numPr>
        <w:tabs>
          <w:tab w:val="left" w:pos="567"/>
        </w:tabs>
        <w:autoSpaceDN w:val="0"/>
        <w:adjustRightInd/>
        <w:spacing w:after="0" w:line="360" w:lineRule="auto"/>
        <w:ind w:left="426"/>
        <w:jc w:val="both"/>
        <w:rPr>
          <w:rFonts w:ascii="宋体" w:hAnsi="宋体" w:eastAsia="宋体" w:cs="宋体"/>
          <w:bCs/>
          <w:color w:val="auto"/>
        </w:rPr>
      </w:pPr>
      <w:r>
        <w:rPr>
          <w:rFonts w:hint="eastAsia" w:ascii="宋体" w:hAnsi="宋体" w:eastAsia="宋体" w:cs="宋体"/>
          <w:bCs/>
          <w:color w:val="auto"/>
          <w:sz w:val="21"/>
          <w:szCs w:val="21"/>
        </w:rPr>
        <w:t>供应商资格：</w:t>
      </w:r>
    </w:p>
    <w:p>
      <w:pPr>
        <w:widowControl w:val="0"/>
        <w:numPr>
          <w:ilvl w:val="1"/>
          <w:numId w:val="6"/>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具备《中华人民共和国政府采购法》第二十二条规定的条件，提供下列材料：</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在中华人民共和国境内注册的法人或其他组织的营业执照（或事业单位法人证书，或社会团体法人登记证书）、组织机构代码证、税务登记证【如已办理了多证合一，则仅需提供合证后的营业执照】，如供应商为自然人的需提供自然人身份证明；</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提供2018年或2019年年度财务状况报告复印件，或2020年任意1个月的财务状况报告复印件，或银行出具的资信证明材料复印件；</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提供2019年或2020年任意1个月的依法缴纳税收的证明（纳税凭证）复印件；如依法免税的，应提供相关材料；</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提供2019年或2020年任意1个月的依法缴纳社会保险的证明（缴纳凭证）复印件；如依法不需要缴纳社会保障资金的，应提供相关材料证明其依法不需要缴纳社会保障资金；</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提供履行合同所必需的设备和专业技术能力的证明材料；（提供《响应供应商资格声明函》）</w:t>
      </w:r>
    </w:p>
    <w:p>
      <w:pPr>
        <w:pStyle w:val="36"/>
        <w:widowControl/>
        <w:numPr>
          <w:ilvl w:val="1"/>
          <w:numId w:val="7"/>
        </w:numPr>
        <w:adjustRightInd w:val="0"/>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提供参加政府采购活动前3年内在经营活动中没有重大违法记录的书面声明。（提供《响应供应商资格声明函》）</w:t>
      </w:r>
    </w:p>
    <w:p>
      <w:pPr>
        <w:widowControl w:val="0"/>
        <w:numPr>
          <w:ilvl w:val="1"/>
          <w:numId w:val="6"/>
        </w:numPr>
        <w:autoSpaceDN w:val="0"/>
        <w:adjustRightInd/>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为采购项目提供整体设计、规范编制或者项目管理、监理、检测等服务的供应商，不得再参加该采购项目的其他采购活动。（提供《响应供应商资格声明函》）</w:t>
      </w:r>
    </w:p>
    <w:p>
      <w:pPr>
        <w:widowControl w:val="0"/>
        <w:numPr>
          <w:ilvl w:val="1"/>
          <w:numId w:val="6"/>
        </w:numPr>
        <w:autoSpaceDN w:val="0"/>
        <w:adjustRightInd/>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单位负责人为同一人或者存在直接控股、管理关系的不同供应商，不得参加同一合同项下的政府采购活动。（提供《响应供应商资格声明函》）。</w:t>
      </w:r>
    </w:p>
    <w:p>
      <w:pPr>
        <w:widowControl w:val="0"/>
        <w:numPr>
          <w:ilvl w:val="1"/>
          <w:numId w:val="6"/>
        </w:numPr>
        <w:autoSpaceDN w:val="0"/>
        <w:adjustRightInd/>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在提交响应文件截止时间前响应供应商未被列入“信用中国”网站(www.creditchina.gov.cn)</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以下任一记录名单之一：①失信被执行人；②重大税收违法案件当事人名单；③政府采购严重违法失信行为。同时，不处于中国政府采购网(www.ccgp.gov.cn)“政府采购严重违法失信行为信息记录”中的禁止参加政府采购活动期间。（说明：1、由磋商小组于递交响应文件截止日在“信用中国”网站（www.creditchina.gov.cn）及中国政府采购网(www.ccgp.gov.cn)查询结果为准。2、采购代理机构同时对信用信息查询记录和证据截图或下载存档。）</w:t>
      </w:r>
    </w:p>
    <w:p>
      <w:pPr>
        <w:widowControl w:val="0"/>
        <w:numPr>
          <w:ilvl w:val="1"/>
          <w:numId w:val="6"/>
        </w:numPr>
        <w:autoSpaceDN w:val="0"/>
        <w:adjustRightInd/>
        <w:spacing w:after="0" w:line="360" w:lineRule="auto"/>
        <w:jc w:val="both"/>
        <w:rPr>
          <w:rFonts w:ascii="宋体" w:hAnsi="宋体" w:eastAsia="宋体" w:cs="宋体"/>
          <w:bCs/>
          <w:color w:val="auto"/>
          <w:sz w:val="21"/>
          <w:szCs w:val="21"/>
        </w:rPr>
      </w:pPr>
      <w:r>
        <w:rPr>
          <w:rFonts w:hint="eastAsia" w:ascii="宋体" w:hAnsi="宋体" w:eastAsia="宋体" w:cs="宋体"/>
          <w:bCs/>
          <w:color w:val="auto"/>
          <w:sz w:val="21"/>
          <w:szCs w:val="21"/>
        </w:rPr>
        <w:t>本项目不接受联合体投标。</w:t>
      </w:r>
    </w:p>
    <w:p>
      <w:pPr>
        <w:widowControl w:val="0"/>
        <w:autoSpaceDE w:val="0"/>
        <w:autoSpaceDN w:val="0"/>
        <w:spacing w:after="0" w:line="360" w:lineRule="auto"/>
        <w:ind w:firstLine="422" w:firstLineChars="200"/>
        <w:rPr>
          <w:rFonts w:ascii="宋体" w:hAnsi="宋体" w:eastAsia="宋体" w:cs="宋体"/>
          <w:b/>
          <w:color w:val="auto"/>
        </w:rPr>
      </w:pPr>
      <w:r>
        <w:rPr>
          <w:rFonts w:hint="eastAsia" w:ascii="宋体" w:hAnsi="宋体" w:eastAsia="宋体" w:cs="宋体"/>
          <w:b/>
          <w:color w:val="auto"/>
          <w:sz w:val="21"/>
          <w:szCs w:val="21"/>
        </w:rPr>
        <w:t xml:space="preserve">说明：获取磋商文件时，供应商代表须提供以下资料（加盖响应供应商公章）： </w:t>
      </w:r>
    </w:p>
    <w:p>
      <w:pPr>
        <w:pStyle w:val="36"/>
        <w:widowControl/>
        <w:numPr>
          <w:ilvl w:val="0"/>
          <w:numId w:val="8"/>
        </w:numPr>
        <w:adjustRightInd w:val="0"/>
        <w:spacing w:line="360" w:lineRule="auto"/>
        <w:ind w:firstLineChars="0"/>
        <w:rPr>
          <w:rFonts w:ascii="宋体" w:hAnsi="宋体" w:eastAsia="宋体" w:cs="宋体"/>
          <w:color w:val="auto"/>
          <w:sz w:val="21"/>
          <w:szCs w:val="21"/>
        </w:rPr>
      </w:pPr>
      <w:r>
        <w:rPr>
          <w:rFonts w:hint="eastAsia" w:ascii="宋体" w:hAnsi="宋体" w:eastAsia="宋体" w:cs="宋体"/>
          <w:color w:val="auto"/>
          <w:sz w:val="21"/>
          <w:szCs w:val="21"/>
        </w:rPr>
        <w:t>提供在中华人民共和国境内注册的法人或其他组织的营业执照（或事业单位法人证书，或社会团体法人登记证书）、组织机构代码证、税务登记证【如已办理了多证合一，则仅需提供合证后的营业执照】，如供应商为自然人的需提供自然人身份证明；</w:t>
      </w:r>
    </w:p>
    <w:p>
      <w:pPr>
        <w:pStyle w:val="36"/>
        <w:widowControl/>
        <w:numPr>
          <w:ilvl w:val="0"/>
          <w:numId w:val="8"/>
        </w:numPr>
        <w:adjustRightInd w:val="0"/>
        <w:spacing w:line="360" w:lineRule="auto"/>
        <w:ind w:firstLineChars="0"/>
        <w:rPr>
          <w:rFonts w:ascii="宋体" w:hAnsi="宋体" w:eastAsia="宋体" w:cs="新宋体"/>
          <w:color w:val="auto"/>
          <w:sz w:val="21"/>
          <w:szCs w:val="21"/>
        </w:rPr>
      </w:pPr>
      <w:r>
        <w:rPr>
          <w:rFonts w:hint="eastAsia" w:ascii="宋体" w:hAnsi="宋体" w:eastAsia="宋体" w:cs="宋体"/>
          <w:color w:val="auto"/>
          <w:sz w:val="21"/>
          <w:szCs w:val="21"/>
        </w:rPr>
        <w:t>法定代表人证明书及法定代表人身份证复印件和法定代表人授权委托书及授权代表身份证复印件；（如法定代表人亲自办理获取磋商文件事宜的，无需提交法定代表人授权委托书及授权代表身份证复印件）</w:t>
      </w:r>
    </w:p>
    <w:p>
      <w:pPr>
        <w:pStyle w:val="36"/>
        <w:widowControl/>
        <w:numPr>
          <w:ilvl w:val="0"/>
          <w:numId w:val="8"/>
        </w:numPr>
        <w:adjustRightInd w:val="0"/>
        <w:spacing w:line="360" w:lineRule="auto"/>
        <w:ind w:firstLineChars="0"/>
        <w:rPr>
          <w:rFonts w:ascii="宋体" w:hAnsi="宋体" w:eastAsia="宋体" w:cs="新宋体"/>
          <w:color w:val="auto"/>
          <w:sz w:val="21"/>
          <w:szCs w:val="21"/>
        </w:rPr>
      </w:pPr>
      <w:r>
        <w:rPr>
          <w:rFonts w:hint="eastAsia" w:ascii="宋体" w:hAnsi="宋体" w:eastAsia="宋体" w:cs="宋体"/>
          <w:color w:val="auto"/>
          <w:sz w:val="21"/>
          <w:szCs w:val="21"/>
        </w:rPr>
        <w:t>《采购文件获取登记表》（可现场填写或在采购代理机构网站（http://www.gzgxzb.com/）“下载中心”下载。）</w:t>
      </w:r>
    </w:p>
    <w:p>
      <w:pPr>
        <w:pStyle w:val="18"/>
        <w:widowControl w:val="0"/>
        <w:adjustRightInd w:val="0"/>
        <w:spacing w:beforeAutospacing="0" w:afterAutospacing="0" w:line="360" w:lineRule="auto"/>
        <w:jc w:val="both"/>
        <w:rPr>
          <w:rFonts w:hint="default"/>
          <w:b/>
          <w:color w:val="auto"/>
          <w:sz w:val="21"/>
          <w:szCs w:val="21"/>
        </w:rPr>
      </w:pPr>
      <w:r>
        <w:rPr>
          <w:b/>
          <w:color w:val="auto"/>
          <w:sz w:val="21"/>
          <w:szCs w:val="21"/>
        </w:rPr>
        <w:t>备注：已成功办理采购文件获取登记的供应商参加投标的，不代表通过资格、符合性审查。</w:t>
      </w:r>
    </w:p>
    <w:p>
      <w:pPr>
        <w:widowControl w:val="0"/>
        <w:numPr>
          <w:ilvl w:val="0"/>
          <w:numId w:val="3"/>
        </w:numPr>
        <w:tabs>
          <w:tab w:val="left" w:pos="567"/>
        </w:tabs>
        <w:autoSpaceDN w:val="0"/>
        <w:spacing w:after="0" w:line="360" w:lineRule="auto"/>
        <w:ind w:left="426"/>
        <w:jc w:val="both"/>
        <w:rPr>
          <w:rFonts w:ascii="宋体" w:hAnsi="宋体" w:eastAsia="宋体" w:cs="宋体"/>
          <w:bCs/>
          <w:color w:val="auto"/>
          <w:sz w:val="21"/>
          <w:szCs w:val="21"/>
        </w:rPr>
      </w:pPr>
      <w:r>
        <w:rPr>
          <w:rFonts w:hint="eastAsia" w:ascii="宋体" w:hAnsi="宋体" w:eastAsia="宋体" w:cs="宋体"/>
          <w:color w:val="auto"/>
          <w:sz w:val="21"/>
          <w:szCs w:val="21"/>
        </w:rPr>
        <w:t>符合</w:t>
      </w:r>
      <w:r>
        <w:rPr>
          <w:rFonts w:hint="eastAsia" w:ascii="Times New Roman" w:hAnsi="Times New Roman" w:eastAsia="宋体" w:cs="宋体"/>
          <w:color w:val="auto"/>
          <w:sz w:val="21"/>
          <w:szCs w:val="21"/>
        </w:rPr>
        <w:t>资格的供应商应当</w:t>
      </w:r>
      <w:r>
        <w:rPr>
          <w:rFonts w:hint="eastAsia" w:ascii="宋体" w:hAnsi="宋体" w:eastAsia="宋体" w:cs="宋体"/>
          <w:color w:val="auto"/>
          <w:sz w:val="21"/>
          <w:szCs w:val="21"/>
        </w:rPr>
        <w:t>在</w:t>
      </w:r>
      <w:r>
        <w:rPr>
          <w:rFonts w:hint="eastAsia" w:ascii="宋体" w:hAnsi="宋体" w:eastAsia="宋体" w:cs="宋体"/>
          <w:bCs/>
          <w:color w:val="auto"/>
          <w:sz w:val="21"/>
          <w:szCs w:val="21"/>
        </w:rPr>
        <w:t>2020年</w:t>
      </w: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24</w:t>
      </w:r>
      <w:r>
        <w:rPr>
          <w:rFonts w:hint="eastAsia" w:ascii="宋体" w:hAnsi="宋体" w:eastAsia="宋体" w:cs="宋体"/>
          <w:bCs/>
          <w:color w:val="auto"/>
          <w:sz w:val="21"/>
          <w:szCs w:val="21"/>
        </w:rPr>
        <w:t>日至2020年</w:t>
      </w: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29</w:t>
      </w:r>
      <w:r>
        <w:rPr>
          <w:rFonts w:hint="eastAsia" w:ascii="宋体" w:hAnsi="宋体" w:eastAsia="宋体" w:cs="宋体"/>
          <w:bCs/>
          <w:color w:val="auto"/>
          <w:sz w:val="21"/>
          <w:szCs w:val="21"/>
        </w:rPr>
        <w:t>日</w:t>
      </w:r>
      <w:r>
        <w:rPr>
          <w:rFonts w:hint="eastAsia" w:ascii="宋体" w:hAnsi="宋体" w:eastAsia="宋体" w:cs="宋体"/>
          <w:color w:val="auto"/>
          <w:sz w:val="21"/>
          <w:szCs w:val="21"/>
        </w:rPr>
        <w:t>期间（办公时间内，法定节假日除外）到</w:t>
      </w:r>
      <w:r>
        <w:rPr>
          <w:rFonts w:hint="eastAsia" w:ascii="宋体" w:hAnsi="宋体" w:eastAsia="宋体" w:cs="宋体"/>
          <w:bCs/>
          <w:color w:val="auto"/>
          <w:sz w:val="21"/>
          <w:szCs w:val="21"/>
        </w:rPr>
        <w:t>广州公信招标有限公司（详细地址：</w:t>
      </w:r>
      <w:r>
        <w:rPr>
          <w:rFonts w:hint="eastAsia" w:ascii="宋体" w:hAnsi="宋体" w:eastAsia="宋体" w:cs="宋体"/>
          <w:color w:val="auto"/>
          <w:sz w:val="21"/>
          <w:szCs w:val="21"/>
        </w:rPr>
        <w:t>广州市天河区天寿路31号江河大厦20楼</w:t>
      </w:r>
      <w:r>
        <w:rPr>
          <w:rFonts w:hint="eastAsia" w:ascii="宋体" w:hAnsi="宋体" w:eastAsia="宋体" w:cs="宋体"/>
          <w:bCs/>
          <w:color w:val="auto"/>
          <w:sz w:val="21"/>
          <w:szCs w:val="21"/>
        </w:rPr>
        <w:t>）</w:t>
      </w:r>
      <w:r>
        <w:rPr>
          <w:rFonts w:hint="eastAsia" w:ascii="宋体" w:hAnsi="宋体" w:eastAsia="宋体" w:cs="宋体"/>
          <w:color w:val="auto"/>
          <w:sz w:val="21"/>
          <w:szCs w:val="21"/>
        </w:rPr>
        <w:t>获取竞争性磋商文件或将报名资料加盖公章扫描发送至gzgx83064349@163.com，每套竞争性磋商文件为人民币300.00元，一经领取不予退还。</w:t>
      </w:r>
    </w:p>
    <w:p>
      <w:pPr>
        <w:widowControl w:val="0"/>
        <w:tabs>
          <w:tab w:val="left" w:pos="567"/>
        </w:tabs>
        <w:autoSpaceDN w:val="0"/>
        <w:spacing w:after="0" w:line="360" w:lineRule="auto"/>
        <w:ind w:left="1070" w:leftChars="200" w:hanging="630" w:hangingChars="300"/>
        <w:jc w:val="both"/>
        <w:rPr>
          <w:rFonts w:ascii="宋体" w:hAnsi="宋体" w:eastAsia="宋体" w:cs="宋体"/>
          <w:bCs/>
          <w:color w:val="auto"/>
          <w:sz w:val="21"/>
          <w:szCs w:val="21"/>
        </w:rPr>
      </w:pPr>
      <w:r>
        <w:rPr>
          <w:rFonts w:hint="eastAsia" w:ascii="宋体" w:hAnsi="宋体" w:eastAsia="宋体" w:cs="宋体"/>
          <w:bCs/>
          <w:color w:val="auto"/>
          <w:sz w:val="21"/>
          <w:szCs w:val="21"/>
        </w:rPr>
        <w:t>接受标书款项的对公账号（请注明项目编号：GZGX20GZ00ZC-33标书费）：</w:t>
      </w:r>
    </w:p>
    <w:p>
      <w:pPr>
        <w:widowControl w:val="0"/>
        <w:tabs>
          <w:tab w:val="left" w:pos="567"/>
        </w:tabs>
        <w:autoSpaceDN w:val="0"/>
        <w:spacing w:after="0" w:line="360" w:lineRule="auto"/>
        <w:ind w:left="1070" w:leftChars="200" w:hanging="630" w:hangingChars="300"/>
        <w:jc w:val="both"/>
        <w:rPr>
          <w:rFonts w:ascii="宋体" w:hAnsi="宋体" w:eastAsia="宋体" w:cs="宋体"/>
          <w:bCs/>
          <w:color w:val="auto"/>
          <w:sz w:val="21"/>
          <w:szCs w:val="21"/>
        </w:rPr>
      </w:pPr>
      <w:r>
        <w:rPr>
          <w:rFonts w:hint="eastAsia" w:ascii="宋体" w:hAnsi="宋体" w:eastAsia="宋体" w:cs="宋体"/>
          <w:bCs/>
          <w:color w:val="auto"/>
          <w:sz w:val="21"/>
          <w:szCs w:val="21"/>
        </w:rPr>
        <w:t xml:space="preserve">户名：广州公信招标有限公司  </w:t>
      </w:r>
    </w:p>
    <w:p>
      <w:pPr>
        <w:widowControl w:val="0"/>
        <w:tabs>
          <w:tab w:val="left" w:pos="567"/>
        </w:tabs>
        <w:autoSpaceDN w:val="0"/>
        <w:spacing w:after="0" w:line="360" w:lineRule="auto"/>
        <w:ind w:left="1070" w:leftChars="200" w:hanging="630" w:hangingChars="300"/>
        <w:jc w:val="both"/>
        <w:rPr>
          <w:rFonts w:ascii="宋体" w:hAnsi="宋体" w:eastAsia="宋体" w:cs="宋体"/>
          <w:bCs/>
          <w:color w:val="auto"/>
          <w:sz w:val="21"/>
          <w:szCs w:val="21"/>
        </w:rPr>
      </w:pPr>
      <w:r>
        <w:rPr>
          <w:rFonts w:hint="eastAsia" w:ascii="宋体" w:hAnsi="宋体" w:eastAsia="宋体" w:cs="宋体"/>
          <w:bCs/>
          <w:color w:val="auto"/>
          <w:sz w:val="21"/>
          <w:szCs w:val="21"/>
        </w:rPr>
        <w:t xml:space="preserve">账号：120913829410909  </w:t>
      </w:r>
    </w:p>
    <w:p>
      <w:pPr>
        <w:widowControl w:val="0"/>
        <w:tabs>
          <w:tab w:val="left" w:pos="567"/>
        </w:tabs>
        <w:autoSpaceDN w:val="0"/>
        <w:spacing w:after="0" w:line="360" w:lineRule="auto"/>
        <w:ind w:left="1070" w:leftChars="200" w:hanging="630" w:hangingChars="300"/>
        <w:jc w:val="both"/>
        <w:rPr>
          <w:rFonts w:ascii="宋体" w:hAnsi="宋体" w:eastAsia="宋体" w:cs="宋体"/>
          <w:bCs/>
          <w:color w:val="auto"/>
          <w:sz w:val="21"/>
          <w:szCs w:val="21"/>
        </w:rPr>
      </w:pPr>
      <w:r>
        <w:rPr>
          <w:rFonts w:hint="eastAsia" w:ascii="宋体" w:hAnsi="宋体" w:eastAsia="宋体" w:cs="宋体"/>
          <w:bCs/>
          <w:color w:val="auto"/>
          <w:sz w:val="21"/>
          <w:szCs w:val="21"/>
        </w:rPr>
        <w:t>开户行：招商银行</w:t>
      </w:r>
      <w:bookmarkStart w:id="271" w:name="_GoBack"/>
      <w:bookmarkEnd w:id="271"/>
      <w:r>
        <w:rPr>
          <w:rFonts w:hint="eastAsia" w:ascii="宋体" w:hAnsi="宋体" w:eastAsia="宋体" w:cs="宋体"/>
          <w:bCs/>
          <w:color w:val="auto"/>
          <w:sz w:val="21"/>
          <w:szCs w:val="21"/>
        </w:rPr>
        <w:t>广州分行体育东路支行</w:t>
      </w:r>
    </w:p>
    <w:p>
      <w:pPr>
        <w:widowControl w:val="0"/>
        <w:numPr>
          <w:ilvl w:val="0"/>
          <w:numId w:val="3"/>
        </w:numPr>
        <w:tabs>
          <w:tab w:val="left" w:pos="567"/>
        </w:tabs>
        <w:autoSpaceDN w:val="0"/>
        <w:spacing w:after="0" w:line="360" w:lineRule="auto"/>
        <w:ind w:left="426"/>
        <w:jc w:val="both"/>
        <w:rPr>
          <w:rFonts w:ascii="宋体" w:hAnsi="宋体" w:eastAsia="宋体" w:cs="宋体"/>
          <w:color w:val="auto"/>
        </w:rPr>
      </w:pPr>
      <w:r>
        <w:rPr>
          <w:rFonts w:hint="eastAsia" w:ascii="宋体" w:hAnsi="宋体" w:eastAsia="宋体" w:cs="宋体"/>
          <w:color w:val="auto"/>
          <w:sz w:val="21"/>
          <w:szCs w:val="21"/>
        </w:rPr>
        <w:t>提交响应文件截止时间：</w:t>
      </w:r>
      <w:r>
        <w:rPr>
          <w:rFonts w:hint="eastAsia" w:ascii="宋体" w:hAnsi="宋体" w:eastAsia="宋体" w:cs="宋体"/>
          <w:bCs/>
          <w:color w:val="auto"/>
          <w:sz w:val="21"/>
          <w:szCs w:val="21"/>
        </w:rPr>
        <w:t>2020年</w:t>
      </w: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6</w:t>
      </w:r>
      <w:r>
        <w:rPr>
          <w:rFonts w:hint="eastAsia" w:ascii="宋体" w:hAnsi="宋体" w:eastAsia="宋体" w:cs="宋体"/>
          <w:bCs/>
          <w:color w:val="auto"/>
          <w:sz w:val="21"/>
          <w:szCs w:val="21"/>
        </w:rPr>
        <w:t>日</w:t>
      </w:r>
      <w:r>
        <w:rPr>
          <w:rFonts w:hint="eastAsia" w:ascii="宋体" w:hAnsi="宋体" w:eastAsia="宋体" w:cs="宋体"/>
          <w:bCs/>
          <w:color w:val="auto"/>
          <w:sz w:val="21"/>
          <w:szCs w:val="21"/>
          <w:lang w:val="en-US" w:eastAsia="zh-CN"/>
        </w:rPr>
        <w:t>14</w:t>
      </w:r>
      <w:r>
        <w:rPr>
          <w:rFonts w:hint="eastAsia" w:ascii="宋体" w:hAnsi="宋体" w:eastAsia="宋体" w:cs="宋体"/>
          <w:bCs/>
          <w:color w:val="auto"/>
          <w:sz w:val="21"/>
          <w:szCs w:val="21"/>
        </w:rPr>
        <w:t>时</w:t>
      </w:r>
      <w:r>
        <w:rPr>
          <w:rFonts w:hint="eastAsia" w:ascii="宋体" w:hAnsi="宋体" w:eastAsia="宋体" w:cs="宋体"/>
          <w:bCs/>
          <w:color w:val="auto"/>
          <w:sz w:val="21"/>
          <w:szCs w:val="21"/>
          <w:lang w:val="en-US" w:eastAsia="zh-CN"/>
        </w:rPr>
        <w:t>30</w:t>
      </w:r>
      <w:r>
        <w:rPr>
          <w:rFonts w:hint="eastAsia" w:ascii="宋体" w:hAnsi="宋体" w:eastAsia="宋体" w:cs="宋体"/>
          <w:bCs/>
          <w:color w:val="auto"/>
          <w:sz w:val="21"/>
          <w:szCs w:val="21"/>
        </w:rPr>
        <w:t>分。</w:t>
      </w:r>
    </w:p>
    <w:p>
      <w:pPr>
        <w:widowControl w:val="0"/>
        <w:numPr>
          <w:ilvl w:val="0"/>
          <w:numId w:val="3"/>
        </w:numPr>
        <w:tabs>
          <w:tab w:val="left" w:pos="567"/>
        </w:tabs>
        <w:autoSpaceDN w:val="0"/>
        <w:spacing w:after="0" w:line="360" w:lineRule="auto"/>
        <w:ind w:left="426"/>
        <w:jc w:val="both"/>
        <w:rPr>
          <w:rFonts w:ascii="宋体" w:hAnsi="宋体" w:eastAsia="宋体" w:cs="宋体"/>
          <w:bCs/>
          <w:color w:val="auto"/>
        </w:rPr>
      </w:pPr>
      <w:r>
        <w:rPr>
          <w:rFonts w:hint="eastAsia" w:ascii="宋体" w:hAnsi="宋体" w:eastAsia="宋体" w:cs="宋体"/>
          <w:color w:val="auto"/>
          <w:sz w:val="21"/>
          <w:szCs w:val="21"/>
        </w:rPr>
        <w:t>提交响应文件地点：广州市天河区天寿路31号江河大厦20楼广州公信招标有限公司</w:t>
      </w:r>
      <w:r>
        <w:rPr>
          <w:rFonts w:hint="eastAsia" w:ascii="宋体" w:hAnsi="宋体" w:eastAsia="宋体" w:cs="宋体"/>
          <w:bCs/>
          <w:color w:val="auto"/>
          <w:sz w:val="21"/>
          <w:szCs w:val="21"/>
        </w:rPr>
        <w:t>会议室。</w:t>
      </w:r>
    </w:p>
    <w:p>
      <w:pPr>
        <w:widowControl w:val="0"/>
        <w:numPr>
          <w:ilvl w:val="0"/>
          <w:numId w:val="3"/>
        </w:numPr>
        <w:tabs>
          <w:tab w:val="left" w:pos="567"/>
        </w:tabs>
        <w:autoSpaceDN w:val="0"/>
        <w:spacing w:after="0" w:line="360" w:lineRule="auto"/>
        <w:ind w:left="431" w:hanging="363"/>
        <w:jc w:val="both"/>
        <w:rPr>
          <w:rFonts w:ascii="宋体" w:hAnsi="宋体" w:eastAsia="宋体" w:cs="宋体"/>
          <w:color w:val="auto"/>
        </w:rPr>
      </w:pPr>
      <w:r>
        <w:rPr>
          <w:rFonts w:hint="eastAsia" w:ascii="宋体" w:hAnsi="宋体" w:eastAsia="宋体" w:cs="宋体"/>
          <w:color w:val="auto"/>
          <w:sz w:val="21"/>
          <w:szCs w:val="21"/>
        </w:rPr>
        <w:t>磋商时间：</w:t>
      </w:r>
      <w:r>
        <w:rPr>
          <w:rFonts w:hint="eastAsia" w:ascii="宋体" w:hAnsi="宋体" w:eastAsia="宋体" w:cs="宋体"/>
          <w:bCs/>
          <w:color w:val="auto"/>
          <w:sz w:val="21"/>
          <w:szCs w:val="21"/>
        </w:rPr>
        <w:t>2020年</w:t>
      </w: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6</w:t>
      </w:r>
      <w:r>
        <w:rPr>
          <w:rFonts w:hint="eastAsia" w:ascii="宋体" w:hAnsi="宋体" w:eastAsia="宋体" w:cs="宋体"/>
          <w:bCs/>
          <w:color w:val="auto"/>
          <w:sz w:val="21"/>
          <w:szCs w:val="21"/>
        </w:rPr>
        <w:t>日</w:t>
      </w:r>
      <w:r>
        <w:rPr>
          <w:rFonts w:hint="eastAsia" w:ascii="宋体" w:hAnsi="宋体" w:eastAsia="宋体" w:cs="宋体"/>
          <w:bCs/>
          <w:color w:val="auto"/>
          <w:sz w:val="21"/>
          <w:szCs w:val="21"/>
          <w:lang w:val="en-US" w:eastAsia="zh-CN"/>
        </w:rPr>
        <w:t>14</w:t>
      </w:r>
      <w:r>
        <w:rPr>
          <w:rFonts w:hint="eastAsia" w:ascii="宋体" w:hAnsi="宋体" w:eastAsia="宋体" w:cs="宋体"/>
          <w:bCs/>
          <w:color w:val="auto"/>
          <w:sz w:val="21"/>
          <w:szCs w:val="21"/>
        </w:rPr>
        <w:t>时</w:t>
      </w:r>
      <w:r>
        <w:rPr>
          <w:rFonts w:hint="eastAsia" w:ascii="宋体" w:hAnsi="宋体" w:eastAsia="宋体" w:cs="宋体"/>
          <w:bCs/>
          <w:color w:val="auto"/>
          <w:sz w:val="21"/>
          <w:szCs w:val="21"/>
          <w:lang w:val="en-US" w:eastAsia="zh-CN"/>
        </w:rPr>
        <w:t>30</w:t>
      </w:r>
      <w:r>
        <w:rPr>
          <w:rFonts w:hint="eastAsia" w:ascii="宋体" w:hAnsi="宋体" w:eastAsia="宋体" w:cs="宋体"/>
          <w:bCs/>
          <w:color w:val="auto"/>
          <w:sz w:val="21"/>
          <w:szCs w:val="21"/>
        </w:rPr>
        <w:t>分。</w:t>
      </w:r>
    </w:p>
    <w:p>
      <w:pPr>
        <w:widowControl w:val="0"/>
        <w:numPr>
          <w:ilvl w:val="0"/>
          <w:numId w:val="3"/>
        </w:numPr>
        <w:tabs>
          <w:tab w:val="left" w:pos="567"/>
          <w:tab w:val="clear" w:pos="1200"/>
        </w:tabs>
        <w:autoSpaceDN w:val="0"/>
        <w:spacing w:after="0" w:line="360" w:lineRule="auto"/>
        <w:ind w:left="363" w:hanging="363"/>
        <w:jc w:val="both"/>
        <w:rPr>
          <w:rFonts w:ascii="宋体" w:hAnsi="宋体" w:eastAsia="宋体" w:cs="宋体"/>
          <w:bCs/>
          <w:color w:val="auto"/>
        </w:rPr>
      </w:pPr>
      <w:r>
        <w:rPr>
          <w:rFonts w:hint="eastAsia" w:ascii="宋体" w:hAnsi="宋体" w:eastAsia="宋体" w:cs="宋体"/>
          <w:color w:val="auto"/>
          <w:sz w:val="21"/>
          <w:szCs w:val="21"/>
        </w:rPr>
        <w:t>磋商地点：广州市天河区天寿路31号江河大厦20楼广州公信招标有限公司会议室</w:t>
      </w:r>
      <w:r>
        <w:rPr>
          <w:rFonts w:hint="eastAsia" w:ascii="宋体" w:hAnsi="宋体" w:eastAsia="宋体" w:cs="宋体"/>
          <w:bCs/>
          <w:color w:val="auto"/>
          <w:sz w:val="21"/>
          <w:szCs w:val="21"/>
        </w:rPr>
        <w:t>。</w:t>
      </w:r>
    </w:p>
    <w:p>
      <w:pPr>
        <w:widowControl w:val="0"/>
        <w:numPr>
          <w:ilvl w:val="0"/>
          <w:numId w:val="3"/>
        </w:numPr>
        <w:tabs>
          <w:tab w:val="left" w:pos="567"/>
          <w:tab w:val="clear" w:pos="1200"/>
        </w:tabs>
        <w:autoSpaceDN w:val="0"/>
        <w:spacing w:after="0" w:line="360" w:lineRule="auto"/>
        <w:ind w:left="363" w:hanging="363"/>
        <w:jc w:val="both"/>
        <w:rPr>
          <w:rFonts w:ascii="宋体" w:hAnsi="宋体" w:eastAsia="宋体" w:cs="宋体"/>
          <w:color w:val="auto"/>
        </w:rPr>
      </w:pPr>
      <w:r>
        <w:rPr>
          <w:rFonts w:hint="eastAsia" w:ascii="宋体" w:hAnsi="宋体" w:eastAsia="宋体" w:cs="宋体"/>
          <w:color w:val="auto"/>
          <w:sz w:val="21"/>
          <w:szCs w:val="21"/>
        </w:rPr>
        <w:t>本公告期限（3个工作日）自</w:t>
      </w:r>
      <w:r>
        <w:rPr>
          <w:rFonts w:hint="eastAsia" w:ascii="宋体" w:hAnsi="宋体" w:eastAsia="宋体" w:cs="宋体"/>
          <w:bCs/>
          <w:color w:val="auto"/>
          <w:sz w:val="21"/>
          <w:szCs w:val="21"/>
        </w:rPr>
        <w:t>2020年</w:t>
      </w: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24</w:t>
      </w:r>
      <w:r>
        <w:rPr>
          <w:rFonts w:hint="eastAsia" w:ascii="宋体" w:hAnsi="宋体" w:eastAsia="宋体" w:cs="宋体"/>
          <w:bCs/>
          <w:color w:val="auto"/>
          <w:sz w:val="21"/>
          <w:szCs w:val="21"/>
        </w:rPr>
        <w:t>日至2020年</w:t>
      </w: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月</w:t>
      </w:r>
      <w:r>
        <w:rPr>
          <w:rFonts w:hint="eastAsia" w:ascii="宋体" w:hAnsi="宋体" w:eastAsia="宋体" w:cs="宋体"/>
          <w:bCs/>
          <w:color w:val="auto"/>
          <w:sz w:val="21"/>
          <w:szCs w:val="21"/>
          <w:lang w:val="en-US" w:eastAsia="zh-CN"/>
        </w:rPr>
        <w:t>27</w:t>
      </w:r>
      <w:r>
        <w:rPr>
          <w:rFonts w:hint="eastAsia" w:ascii="宋体" w:hAnsi="宋体" w:eastAsia="宋体" w:cs="宋体"/>
          <w:bCs/>
          <w:color w:val="auto"/>
          <w:sz w:val="21"/>
          <w:szCs w:val="21"/>
        </w:rPr>
        <w:t>日</w:t>
      </w:r>
      <w:r>
        <w:rPr>
          <w:rFonts w:hint="eastAsia" w:ascii="宋体" w:hAnsi="宋体" w:eastAsia="宋体" w:cs="宋体"/>
          <w:color w:val="auto"/>
          <w:sz w:val="21"/>
          <w:szCs w:val="21"/>
        </w:rPr>
        <w:t>止。</w:t>
      </w:r>
    </w:p>
    <w:p>
      <w:pPr>
        <w:widowControl w:val="0"/>
        <w:numPr>
          <w:ilvl w:val="0"/>
          <w:numId w:val="3"/>
        </w:numPr>
        <w:tabs>
          <w:tab w:val="left" w:pos="567"/>
          <w:tab w:val="clear" w:pos="1200"/>
        </w:tabs>
        <w:autoSpaceDN w:val="0"/>
        <w:spacing w:after="0" w:line="360" w:lineRule="auto"/>
        <w:ind w:left="363" w:hanging="363"/>
        <w:jc w:val="both"/>
        <w:rPr>
          <w:rFonts w:ascii="宋体" w:hAnsi="宋体" w:eastAsia="宋体" w:cs="宋体"/>
          <w:color w:val="auto"/>
        </w:rPr>
      </w:pPr>
      <w:r>
        <w:rPr>
          <w:rFonts w:hint="eastAsia" w:ascii="宋体" w:hAnsi="宋体" w:eastAsia="宋体" w:cs="宋体"/>
          <w:color w:val="auto"/>
          <w:sz w:val="21"/>
          <w:szCs w:val="21"/>
        </w:rPr>
        <w:t>联系事项：</w:t>
      </w:r>
    </w:p>
    <w:p>
      <w:pPr>
        <w:pStyle w:val="51"/>
        <w:widowControl/>
        <w:numPr>
          <w:ilvl w:val="0"/>
          <w:numId w:val="9"/>
        </w:numPr>
        <w:tabs>
          <w:tab w:val="left" w:pos="420"/>
          <w:tab w:val="clear" w:pos="2328"/>
        </w:tabs>
        <w:spacing w:line="360" w:lineRule="auto"/>
        <w:rPr>
          <w:rFonts w:ascii="宋体" w:hAnsi="宋体" w:cs="宋体"/>
          <w:color w:val="auto"/>
          <w:szCs w:val="21"/>
        </w:rPr>
      </w:pPr>
      <w:r>
        <w:rPr>
          <w:rFonts w:hint="eastAsia" w:ascii="宋体" w:hAnsi="宋体" w:cs="宋体"/>
          <w:bCs/>
          <w:color w:val="auto"/>
          <w:szCs w:val="21"/>
        </w:rPr>
        <w:t>采购项目联系人(代理机构) ：莫小姐   联系电话：</w:t>
      </w:r>
      <w:r>
        <w:rPr>
          <w:rFonts w:hint="eastAsia" w:ascii="宋体" w:hAnsi="宋体" w:cs="宋体"/>
          <w:color w:val="auto"/>
          <w:szCs w:val="21"/>
        </w:rPr>
        <w:t>020-83064172</w:t>
      </w:r>
    </w:p>
    <w:p>
      <w:pPr>
        <w:pStyle w:val="51"/>
        <w:widowControl/>
        <w:numPr>
          <w:ilvl w:val="3"/>
          <w:numId w:val="0"/>
        </w:numPr>
        <w:tabs>
          <w:tab w:val="left" w:pos="420"/>
          <w:tab w:val="clear" w:pos="2328"/>
        </w:tabs>
        <w:spacing w:line="360" w:lineRule="auto"/>
        <w:ind w:left="709"/>
        <w:rPr>
          <w:rFonts w:ascii="宋体" w:hAnsi="宋体" w:cs="宋体"/>
          <w:color w:val="auto"/>
          <w:szCs w:val="21"/>
        </w:rPr>
      </w:pPr>
      <w:r>
        <w:rPr>
          <w:rFonts w:hint="eastAsia" w:ascii="宋体" w:hAnsi="宋体" w:cs="宋体"/>
          <w:bCs/>
          <w:color w:val="auto"/>
          <w:szCs w:val="21"/>
        </w:rPr>
        <w:t>采购项目联系人(采购人)：</w:t>
      </w:r>
      <w:r>
        <w:rPr>
          <w:rFonts w:hint="eastAsia" w:ascii="宋体" w:hAnsi="宋体" w:cs="宋体"/>
          <w:bCs/>
          <w:color w:val="auto"/>
          <w:szCs w:val="21"/>
          <w:lang w:val="en-US" w:eastAsia="zh-CN"/>
        </w:rPr>
        <w:t>李参谋</w:t>
      </w:r>
      <w:r>
        <w:rPr>
          <w:rFonts w:hint="eastAsia" w:ascii="宋体" w:hAnsi="宋体" w:cs="宋体"/>
          <w:bCs/>
          <w:color w:val="auto"/>
          <w:szCs w:val="21"/>
        </w:rPr>
        <w:t xml:space="preserve">     联系电话：020-36675007</w:t>
      </w:r>
    </w:p>
    <w:p>
      <w:pPr>
        <w:pStyle w:val="51"/>
        <w:widowControl/>
        <w:numPr>
          <w:ilvl w:val="0"/>
          <w:numId w:val="9"/>
        </w:numPr>
        <w:tabs>
          <w:tab w:val="left" w:pos="420"/>
          <w:tab w:val="clear" w:pos="2328"/>
        </w:tabs>
        <w:spacing w:line="360" w:lineRule="auto"/>
        <w:rPr>
          <w:rFonts w:ascii="宋体" w:hAnsi="宋体" w:cs="宋体"/>
          <w:color w:val="auto"/>
          <w:szCs w:val="21"/>
        </w:rPr>
      </w:pPr>
      <w:r>
        <w:rPr>
          <w:rFonts w:hint="eastAsia" w:ascii="宋体" w:hAnsi="宋体" w:cs="宋体"/>
          <w:color w:val="auto"/>
          <w:szCs w:val="21"/>
        </w:rPr>
        <w:t>采购代理机构：广州公信招标有限公司</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地址：</w:t>
      </w:r>
      <w:r>
        <w:rPr>
          <w:rFonts w:hint="eastAsia" w:ascii="宋体" w:hAnsi="宋体" w:cs="宋体"/>
          <w:color w:val="auto"/>
          <w:szCs w:val="21"/>
        </w:rPr>
        <w:t>广州市天河区天寿路31号江河大厦20楼</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联系人：</w:t>
      </w:r>
      <w:r>
        <w:rPr>
          <w:rFonts w:hint="eastAsia" w:ascii="宋体" w:hAnsi="宋体" w:cs="宋体"/>
          <w:color w:val="auto"/>
        </w:rPr>
        <w:t>莫小姐</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联系电话：020-83064172</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传真：020-83064349</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邮编：510610</w:t>
      </w:r>
    </w:p>
    <w:p>
      <w:pPr>
        <w:pStyle w:val="51"/>
        <w:widowControl/>
        <w:numPr>
          <w:ilvl w:val="0"/>
          <w:numId w:val="9"/>
        </w:numPr>
        <w:tabs>
          <w:tab w:val="left" w:pos="420"/>
          <w:tab w:val="clear" w:pos="2328"/>
        </w:tabs>
        <w:spacing w:line="360" w:lineRule="auto"/>
        <w:rPr>
          <w:rFonts w:ascii="宋体" w:hAnsi="宋体" w:cs="宋体"/>
          <w:bCs/>
          <w:color w:val="auto"/>
          <w:kern w:val="0"/>
          <w:szCs w:val="21"/>
        </w:rPr>
      </w:pPr>
      <w:r>
        <w:rPr>
          <w:rFonts w:hint="eastAsia" w:ascii="宋体" w:hAnsi="宋体" w:cs="宋体"/>
          <w:color w:val="auto"/>
          <w:szCs w:val="21"/>
        </w:rPr>
        <w:t>采购人：</w:t>
      </w:r>
      <w:r>
        <w:rPr>
          <w:rFonts w:hint="eastAsia" w:ascii="宋体" w:hAnsi="宋体" w:cs="宋体"/>
          <w:bCs/>
          <w:color w:val="auto"/>
          <w:kern w:val="0"/>
          <w:szCs w:val="21"/>
          <w:highlight w:val="none"/>
        </w:rPr>
        <w:t>广州市白云区消防救援大队</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地址：广东省广州市白云区云霄路南方航空5号停机坪</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联系人：</w:t>
      </w:r>
      <w:r>
        <w:rPr>
          <w:rFonts w:hint="eastAsia" w:ascii="宋体" w:hAnsi="宋体" w:cs="宋体"/>
          <w:bCs/>
          <w:color w:val="auto"/>
          <w:szCs w:val="21"/>
          <w:lang w:val="en-US" w:eastAsia="zh-CN"/>
        </w:rPr>
        <w:t>李参谋</w:t>
      </w:r>
      <w:r>
        <w:rPr>
          <w:rFonts w:hint="eastAsia" w:ascii="宋体" w:hAnsi="宋体" w:cs="宋体"/>
          <w:bCs/>
          <w:color w:val="auto"/>
          <w:szCs w:val="21"/>
        </w:rPr>
        <w:t xml:space="preserve"> </w:t>
      </w:r>
    </w:p>
    <w:p>
      <w:pPr>
        <w:pStyle w:val="51"/>
        <w:widowControl/>
        <w:numPr>
          <w:ilvl w:val="3"/>
          <w:numId w:val="0"/>
        </w:numPr>
        <w:tabs>
          <w:tab w:val="left" w:pos="420"/>
          <w:tab w:val="clear" w:pos="2328"/>
        </w:tabs>
        <w:spacing w:line="360" w:lineRule="auto"/>
        <w:ind w:left="709"/>
        <w:rPr>
          <w:rFonts w:ascii="宋体" w:hAnsi="宋体" w:cs="宋体"/>
          <w:bCs/>
          <w:color w:val="auto"/>
          <w:szCs w:val="21"/>
        </w:rPr>
      </w:pPr>
      <w:r>
        <w:rPr>
          <w:rFonts w:hint="eastAsia" w:ascii="宋体" w:hAnsi="宋体" w:cs="宋体"/>
          <w:bCs/>
          <w:color w:val="auto"/>
          <w:szCs w:val="21"/>
        </w:rPr>
        <w:t>联系电话：020-36675007</w:t>
      </w:r>
    </w:p>
    <w:p>
      <w:pPr>
        <w:pStyle w:val="51"/>
        <w:widowControl/>
        <w:numPr>
          <w:ilvl w:val="3"/>
          <w:numId w:val="0"/>
        </w:numPr>
        <w:tabs>
          <w:tab w:val="left" w:pos="420"/>
          <w:tab w:val="clear" w:pos="2328"/>
        </w:tabs>
        <w:spacing w:line="360" w:lineRule="auto"/>
        <w:ind w:left="720" w:firstLine="554" w:firstLineChars="264"/>
        <w:rPr>
          <w:rFonts w:ascii="宋体" w:hAnsi="宋体" w:cs="宋体"/>
          <w:color w:val="auto"/>
          <w:szCs w:val="21"/>
        </w:rPr>
      </w:pP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附件：1.委托代理协议</w:t>
      </w:r>
    </w:p>
    <w:p>
      <w:pPr>
        <w:widowControl w:val="0"/>
        <w:autoSpaceDE w:val="0"/>
        <w:autoSpaceDN w:val="0"/>
        <w:spacing w:after="0" w:line="360" w:lineRule="auto"/>
        <w:ind w:firstLine="426"/>
        <w:rPr>
          <w:rFonts w:ascii="宋体" w:hAnsi="宋体" w:eastAsia="宋体" w:cs="宋体"/>
          <w:color w:val="auto"/>
        </w:rPr>
      </w:pPr>
      <w:r>
        <w:rPr>
          <w:rFonts w:hint="eastAsia" w:ascii="宋体" w:hAnsi="宋体" w:eastAsia="宋体" w:cs="宋体"/>
          <w:color w:val="auto"/>
          <w:sz w:val="21"/>
          <w:szCs w:val="21"/>
        </w:rPr>
        <w:t xml:space="preserve">      2.竞争性磋商文件</w:t>
      </w:r>
    </w:p>
    <w:p>
      <w:pPr>
        <w:widowControl w:val="0"/>
        <w:tabs>
          <w:tab w:val="right" w:pos="9180"/>
        </w:tabs>
        <w:autoSpaceDE w:val="0"/>
        <w:autoSpaceDN w:val="0"/>
        <w:spacing w:after="0" w:line="360" w:lineRule="auto"/>
        <w:ind w:firstLine="435"/>
        <w:jc w:val="right"/>
        <w:rPr>
          <w:rFonts w:ascii="宋体" w:hAnsi="宋体" w:eastAsia="宋体" w:cs="宋体"/>
          <w:b/>
          <w:color w:val="auto"/>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rPr>
        <w:t>发布人：广州公信招标有限公司</w:t>
      </w:r>
    </w:p>
    <w:p>
      <w:pPr>
        <w:widowControl w:val="0"/>
        <w:wordWrap w:val="0"/>
        <w:autoSpaceDE w:val="0"/>
        <w:autoSpaceDN w:val="0"/>
        <w:spacing w:after="0" w:line="360" w:lineRule="auto"/>
        <w:ind w:firstLine="435"/>
        <w:jc w:val="right"/>
        <w:rPr>
          <w:rFonts w:ascii="宋体" w:hAnsi="宋体" w:eastAsia="宋体" w:cs="宋体"/>
          <w:b/>
          <w:color w:val="auto"/>
        </w:rPr>
      </w:pPr>
      <w:r>
        <w:rPr>
          <w:rFonts w:hint="eastAsia" w:ascii="宋体" w:hAnsi="宋体" w:eastAsia="宋体" w:cs="宋体"/>
          <w:b/>
          <w:color w:val="auto"/>
          <w:sz w:val="21"/>
          <w:szCs w:val="21"/>
        </w:rPr>
        <w:t>发布时间：2020年</w:t>
      </w:r>
      <w:r>
        <w:rPr>
          <w:rFonts w:hint="eastAsia" w:ascii="宋体" w:hAnsi="宋体" w:eastAsia="宋体" w:cs="宋体"/>
          <w:b/>
          <w:color w:val="auto"/>
          <w:sz w:val="21"/>
          <w:szCs w:val="21"/>
          <w:lang w:val="en-US" w:eastAsia="zh-CN"/>
        </w:rPr>
        <w:t>4</w:t>
      </w:r>
      <w:r>
        <w:rPr>
          <w:rFonts w:hint="eastAsia" w:ascii="宋体" w:hAnsi="宋体" w:eastAsia="宋体" w:cs="宋体"/>
          <w:b/>
          <w:color w:val="auto"/>
          <w:sz w:val="21"/>
          <w:szCs w:val="21"/>
        </w:rPr>
        <w:t>月</w:t>
      </w:r>
      <w:r>
        <w:rPr>
          <w:rFonts w:hint="eastAsia" w:ascii="宋体" w:hAnsi="宋体" w:eastAsia="宋体" w:cs="宋体"/>
          <w:b/>
          <w:color w:val="auto"/>
          <w:sz w:val="21"/>
          <w:szCs w:val="21"/>
          <w:lang w:val="en-US" w:eastAsia="zh-CN"/>
        </w:rPr>
        <w:t>23</w:t>
      </w:r>
      <w:r>
        <w:rPr>
          <w:rFonts w:hint="eastAsia" w:ascii="宋体" w:hAnsi="宋体" w:eastAsia="宋体" w:cs="宋体"/>
          <w:b/>
          <w:color w:val="auto"/>
          <w:sz w:val="21"/>
          <w:szCs w:val="21"/>
        </w:rPr>
        <w:t>日</w:t>
      </w:r>
    </w:p>
    <w:p>
      <w:pPr>
        <w:pStyle w:val="19"/>
        <w:widowControl/>
        <w:rPr>
          <w:color w:val="auto"/>
        </w:rPr>
      </w:pPr>
      <w:r>
        <w:rPr>
          <w:rFonts w:hint="eastAsia" w:ascii="宋体" w:hAnsi="宋体"/>
          <w:bCs/>
          <w:color w:val="auto"/>
          <w:sz w:val="21"/>
          <w:szCs w:val="21"/>
        </w:rPr>
        <w:br w:type="page"/>
      </w:r>
      <w:bookmarkStart w:id="2" w:name="_Toc416771319"/>
      <w:bookmarkStart w:id="3" w:name="_Toc7704"/>
      <w:bookmarkStart w:id="4" w:name="_Toc416770209"/>
      <w:bookmarkStart w:id="5" w:name="_Toc410736129"/>
      <w:r>
        <w:rPr>
          <w:rFonts w:hint="eastAsia" w:cs="宋体"/>
          <w:color w:val="auto"/>
        </w:rPr>
        <w:t>第二章</w:t>
      </w:r>
      <w:r>
        <w:rPr>
          <w:color w:val="auto"/>
        </w:rPr>
        <w:t xml:space="preserve">  </w:t>
      </w:r>
      <w:r>
        <w:rPr>
          <w:rFonts w:hint="eastAsia" w:cs="宋体"/>
          <w:color w:val="auto"/>
        </w:rPr>
        <w:t>磋商资料表</w:t>
      </w:r>
      <w:bookmarkEnd w:id="2"/>
      <w:bookmarkEnd w:id="3"/>
      <w:bookmarkEnd w:id="4"/>
      <w:bookmarkEnd w:id="5"/>
    </w:p>
    <w:p>
      <w:pPr>
        <w:widowControl w:val="0"/>
        <w:autoSpaceDE w:val="0"/>
        <w:autoSpaceDN w:val="0"/>
        <w:spacing w:after="0" w:line="360" w:lineRule="auto"/>
        <w:ind w:left="297" w:leftChars="135" w:right="-1" w:firstLine="340" w:firstLineChars="162"/>
        <w:rPr>
          <w:color w:val="auto"/>
        </w:rPr>
      </w:pPr>
      <w:r>
        <w:rPr>
          <w:rFonts w:hint="eastAsia" w:ascii="Times New Roman" w:hAnsi="Times New Roman" w:eastAsia="宋体" w:cs="宋体"/>
          <w:color w:val="auto"/>
          <w:sz w:val="21"/>
          <w:szCs w:val="21"/>
        </w:rPr>
        <w:t>该资料表的条款项号是与第七章《磋商须知》条款项号对应的，或增加的条款，是对第七章《磋商须知》的补充、修改和完善，如果有矛盾的话，应以本资料表为准。</w:t>
      </w:r>
    </w:p>
    <w:tbl>
      <w:tblPr>
        <w:tblStyle w:val="21"/>
        <w:tblW w:w="99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8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blHeader/>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条款项号</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7"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一、说明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2.2</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8"/>
                <w:sz w:val="21"/>
                <w:szCs w:val="21"/>
              </w:rPr>
            </w:pPr>
            <w:r>
              <w:rPr>
                <w:rFonts w:hint="eastAsia" w:ascii="宋体" w:hAnsi="宋体" w:eastAsia="宋体" w:cs="宋体"/>
                <w:color w:val="auto"/>
                <w:kern w:val="2"/>
                <w:sz w:val="21"/>
                <w:szCs w:val="21"/>
              </w:rPr>
              <w:t>采购人名称：</w:t>
            </w:r>
            <w:r>
              <w:rPr>
                <w:rFonts w:hint="eastAsia" w:ascii="宋体" w:hAnsi="宋体" w:eastAsia="宋体" w:cs="宋体"/>
                <w:color w:val="auto"/>
                <w:kern w:val="28"/>
                <w:sz w:val="21"/>
                <w:szCs w:val="21"/>
                <w:highlight w:val="none"/>
              </w:rPr>
              <w:t>广州市白云区消防救援大队</w:t>
            </w:r>
          </w:p>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资金来源：财政性资金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2.3</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采购代理机构联系方式：</w:t>
            </w:r>
          </w:p>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联系人：</w:t>
            </w:r>
            <w:r>
              <w:rPr>
                <w:rFonts w:hint="eastAsia" w:ascii="宋体" w:hAnsi="宋体" w:eastAsia="宋体" w:cs="宋体"/>
                <w:bCs/>
                <w:color w:val="auto"/>
                <w:kern w:val="2"/>
                <w:sz w:val="21"/>
                <w:szCs w:val="21"/>
              </w:rPr>
              <w:t xml:space="preserve">莫小姐    </w:t>
            </w:r>
            <w:r>
              <w:rPr>
                <w:rFonts w:hint="eastAsia" w:ascii="宋体" w:hAnsi="宋体" w:eastAsia="宋体" w:cs="宋体"/>
                <w:color w:val="auto"/>
                <w:kern w:val="2"/>
                <w:sz w:val="21"/>
                <w:szCs w:val="21"/>
              </w:rPr>
              <w:t xml:space="preserve">           联系电话：020-83064172</w:t>
            </w:r>
          </w:p>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联系部门：项目部             联系地址：广州市天河区天寿路31号江河大厦20楼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6.3</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numPr>
                <w:ilvl w:val="0"/>
                <w:numId w:val="10"/>
              </w:numPr>
              <w:autoSpaceDN w:val="0"/>
              <w:spacing w:after="0"/>
              <w:jc w:val="both"/>
              <w:rPr>
                <w:rFonts w:ascii="宋体" w:hAnsi="宋体" w:eastAsia="宋体" w:cs="宋体"/>
                <w:color w:val="auto"/>
                <w:kern w:val="2"/>
              </w:rPr>
            </w:pPr>
            <w:r>
              <w:rPr>
                <w:rFonts w:hint="eastAsia" w:ascii="宋体" w:hAnsi="宋体" w:eastAsia="宋体" w:cs="宋体"/>
                <w:color w:val="auto"/>
                <w:kern w:val="2"/>
                <w:sz w:val="21"/>
                <w:szCs w:val="21"/>
              </w:rPr>
              <w:t>成交供应商须向采购代理机构按如下标准和规定缴纳采购招标代理服务费：</w:t>
            </w:r>
          </w:p>
          <w:p>
            <w:pPr>
              <w:widowControl w:val="0"/>
              <w:numPr>
                <w:ilvl w:val="0"/>
                <w:numId w:val="11"/>
              </w:numPr>
              <w:autoSpaceDE w:val="0"/>
              <w:autoSpaceDN w:val="0"/>
              <w:spacing w:after="0"/>
              <w:ind w:firstLine="420" w:firstLineChars="200"/>
              <w:rPr>
                <w:rFonts w:ascii="宋体" w:hAnsi="宋体" w:eastAsia="宋体" w:cs="宋体"/>
                <w:color w:val="auto"/>
                <w:kern w:val="2"/>
              </w:rPr>
            </w:pPr>
            <w:r>
              <w:rPr>
                <w:rFonts w:hint="eastAsia" w:ascii="宋体" w:hAnsi="宋体" w:eastAsia="宋体" w:cs="宋体"/>
                <w:color w:val="auto"/>
                <w:kern w:val="2"/>
                <w:sz w:val="21"/>
                <w:szCs w:val="21"/>
              </w:rPr>
              <w:t>以本项目预算金额作为招标代理服务费的计算基数。</w:t>
            </w:r>
          </w:p>
          <w:p>
            <w:pPr>
              <w:widowControl w:val="0"/>
              <w:autoSpaceDE w:val="0"/>
              <w:autoSpaceDN w:val="0"/>
              <w:spacing w:after="0"/>
              <w:ind w:firstLine="420" w:firstLineChars="200"/>
              <w:rPr>
                <w:rFonts w:ascii="宋体" w:hAnsi="宋体" w:eastAsia="宋体" w:cs="宋体"/>
                <w:color w:val="auto"/>
                <w:kern w:val="2"/>
                <w:sz w:val="21"/>
                <w:szCs w:val="21"/>
              </w:rPr>
            </w:pPr>
            <w:r>
              <w:rPr>
                <w:rFonts w:hint="eastAsia" w:ascii="宋体" w:hAnsi="宋体" w:eastAsia="宋体" w:cs="宋体"/>
                <w:color w:val="auto"/>
                <w:kern w:val="2"/>
                <w:sz w:val="21"/>
                <w:szCs w:val="21"/>
              </w:rPr>
              <w:t>招标代理服务费收费采用差额定率累进法计算方式。按中华人民共和国国家发展计划委员会颁发的计价格[2002]1980号、国家发改委[2003]857号及发改价格2011534号文规定的“服务类”计算。</w:t>
            </w:r>
          </w:p>
          <w:p>
            <w:pPr>
              <w:widowControl w:val="0"/>
              <w:autoSpaceDE w:val="0"/>
              <w:autoSpaceDN w:val="0"/>
              <w:spacing w:after="0"/>
              <w:ind w:firstLine="420" w:firstLineChars="200"/>
              <w:rPr>
                <w:rFonts w:ascii="宋体" w:hAnsi="宋体" w:eastAsia="宋体" w:cs="宋体"/>
                <w:color w:val="auto"/>
                <w:kern w:val="2"/>
              </w:rPr>
            </w:pPr>
            <w:r>
              <w:rPr>
                <w:rFonts w:hint="eastAsia" w:ascii="宋体" w:hAnsi="宋体" w:eastAsia="宋体" w:cs="宋体"/>
                <w:color w:val="auto"/>
                <w:kern w:val="2"/>
                <w:sz w:val="21"/>
                <w:szCs w:val="21"/>
              </w:rPr>
              <w:t>招标代理服务费的缴纳形式：</w:t>
            </w:r>
          </w:p>
          <w:p>
            <w:pPr>
              <w:widowControl w:val="0"/>
              <w:autoSpaceDN w:val="0"/>
              <w:spacing w:after="0"/>
              <w:ind w:left="420"/>
              <w:jc w:val="both"/>
              <w:rPr>
                <w:rFonts w:ascii="宋体" w:hAnsi="宋体" w:eastAsia="宋体" w:cs="宋体"/>
                <w:color w:val="auto"/>
                <w:kern w:val="2"/>
              </w:rPr>
            </w:pPr>
            <w:r>
              <w:rPr>
                <w:rFonts w:hint="eastAsia" w:ascii="宋体" w:hAnsi="宋体" w:eastAsia="宋体" w:cs="宋体"/>
                <w:color w:val="auto"/>
                <w:kern w:val="2"/>
                <w:sz w:val="21"/>
                <w:szCs w:val="21"/>
              </w:rPr>
              <w:t>向采购代理机构直接缴纳招标代理服务费（可用支票、汇票、电汇等付款方式）。</w:t>
            </w:r>
          </w:p>
          <w:p>
            <w:pPr>
              <w:widowControl w:val="0"/>
              <w:numPr>
                <w:ilvl w:val="0"/>
                <w:numId w:val="10"/>
              </w:numPr>
              <w:autoSpaceDN w:val="0"/>
              <w:spacing w:after="0"/>
              <w:jc w:val="both"/>
              <w:rPr>
                <w:rFonts w:ascii="宋体" w:hAnsi="宋体" w:eastAsia="宋体" w:cs="宋体"/>
                <w:color w:val="auto"/>
                <w:kern w:val="2"/>
              </w:rPr>
            </w:pPr>
            <w:r>
              <w:rPr>
                <w:rFonts w:hint="eastAsia" w:ascii="宋体" w:hAnsi="宋体" w:eastAsia="宋体" w:cs="宋体"/>
                <w:color w:val="auto"/>
                <w:kern w:val="2"/>
                <w:sz w:val="21"/>
                <w:szCs w:val="21"/>
              </w:rPr>
              <w:t>响应供应商应签署第六章所附格式的招标代理服务费承诺书，作为响应文件的一部分。</w:t>
            </w:r>
          </w:p>
          <w:p>
            <w:pPr>
              <w:widowControl w:val="0"/>
              <w:numPr>
                <w:ilvl w:val="0"/>
                <w:numId w:val="10"/>
              </w:numPr>
              <w:autoSpaceDN w:val="0"/>
              <w:spacing w:after="0"/>
              <w:jc w:val="both"/>
              <w:rPr>
                <w:rFonts w:ascii="宋体" w:hAnsi="宋体" w:eastAsia="宋体" w:cs="宋体"/>
                <w:color w:val="auto"/>
                <w:kern w:val="2"/>
              </w:rPr>
            </w:pPr>
            <w:r>
              <w:rPr>
                <w:rFonts w:hint="eastAsia" w:ascii="宋体" w:hAnsi="宋体" w:eastAsia="宋体" w:cs="宋体"/>
                <w:color w:val="auto"/>
                <w:kern w:val="2"/>
                <w:sz w:val="21"/>
                <w:szCs w:val="21"/>
              </w:rPr>
              <w:t>成交供应商在领取《成交通知书》原件前应向采购代理机构缴纳招标代理服务费。</w:t>
            </w:r>
            <w:r>
              <w:rPr>
                <w:rFonts w:hint="eastAsia" w:ascii="宋体" w:hAnsi="Times New Roman" w:eastAsia="宋体" w:cs="宋体"/>
                <w:color w:val="auto"/>
                <w:kern w:val="2"/>
                <w:sz w:val="21"/>
                <w:szCs w:val="21"/>
              </w:rPr>
              <w:t>凭领取人身份证复印件并加盖公章领取《成交通知书》。如采用电汇或银行转账，须同时递交招标代理服务费缴费凭证复印件并加盖公章。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7"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b/>
                <w:color w:val="auto"/>
                <w:kern w:val="2"/>
                <w:sz w:val="21"/>
                <w:szCs w:val="21"/>
              </w:rPr>
              <w:t>二、竞争性磋商文件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9.1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现场考察或磋商前答疑会：不举行。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三、响应文件的编制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highlight w:val="yellow"/>
              </w:rPr>
            </w:pPr>
            <w:r>
              <w:rPr>
                <w:rFonts w:hint="eastAsia" w:ascii="宋体" w:hAnsi="宋体" w:eastAsia="宋体" w:cs="宋体"/>
                <w:color w:val="auto"/>
                <w:kern w:val="2"/>
                <w:sz w:val="21"/>
                <w:szCs w:val="21"/>
              </w:rPr>
              <w:t>13.1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highlight w:val="yellow"/>
              </w:rPr>
            </w:pPr>
            <w:r>
              <w:rPr>
                <w:rFonts w:hint="eastAsia" w:ascii="宋体" w:hAnsi="宋体" w:eastAsia="宋体" w:cs="宋体"/>
                <w:color w:val="auto"/>
                <w:kern w:val="2"/>
                <w:lang w:eastAsia="zh-TW"/>
              </w:rPr>
              <w:t>报价中不得包含</w:t>
            </w:r>
            <w:r>
              <w:rPr>
                <w:rFonts w:hint="eastAsia" w:ascii="宋体" w:hAnsi="宋体" w:eastAsia="宋体" w:cs="宋体"/>
                <w:color w:val="auto"/>
                <w:kern w:val="2"/>
              </w:rPr>
              <w:t>磋商</w:t>
            </w:r>
            <w:r>
              <w:rPr>
                <w:rFonts w:hint="eastAsia" w:ascii="宋体" w:hAnsi="宋体" w:eastAsia="宋体" w:cs="宋体"/>
                <w:color w:val="auto"/>
                <w:kern w:val="2"/>
                <w:lang w:eastAsia="zh-TW"/>
              </w:rPr>
              <w:t>文件要求以外的内容，否则，在评标时不予核减。若</w:t>
            </w:r>
            <w:r>
              <w:rPr>
                <w:rFonts w:hint="eastAsia" w:ascii="宋体" w:hAnsi="宋体" w:eastAsia="宋体" w:cs="宋体"/>
                <w:color w:val="auto"/>
                <w:kern w:val="2"/>
              </w:rPr>
              <w:t>针对本项目产品（服务）</w:t>
            </w:r>
            <w:r>
              <w:rPr>
                <w:rFonts w:hint="eastAsia" w:ascii="宋体" w:hAnsi="宋体" w:eastAsia="宋体" w:cs="宋体"/>
                <w:color w:val="auto"/>
                <w:kern w:val="2"/>
                <w:lang w:eastAsia="zh-TW"/>
              </w:rPr>
              <w:t>报价有缺漏项的，缺漏项部分的价格视为已包含在报价中，</w:t>
            </w:r>
            <w:r>
              <w:rPr>
                <w:rFonts w:hint="eastAsia" w:ascii="宋体" w:hAnsi="宋体" w:eastAsia="宋体" w:cs="宋体"/>
                <w:color w:val="auto"/>
                <w:kern w:val="2"/>
              </w:rPr>
              <w:t>成交</w:t>
            </w:r>
            <w:r>
              <w:rPr>
                <w:rFonts w:hint="eastAsia" w:ascii="宋体" w:hAnsi="宋体" w:eastAsia="宋体" w:cs="宋体"/>
                <w:color w:val="auto"/>
                <w:kern w:val="2"/>
                <w:lang w:eastAsia="zh-TW"/>
              </w:rPr>
              <w:t>后不作任何调整</w:t>
            </w:r>
            <w:r>
              <w:rPr>
                <w:rFonts w:hint="eastAsia" w:ascii="宋体" w:hAnsi="宋体" w:eastAsia="宋体" w:cs="宋体"/>
                <w:color w:val="auto"/>
                <w:kern w:val="2"/>
              </w:rPr>
              <w:t>。</w:t>
            </w:r>
            <w:r>
              <w:rPr>
                <w:rFonts w:hint="eastAsia" w:ascii="宋体" w:hAnsi="宋体" w:eastAsia="宋体" w:cs="宋体"/>
                <w:color w:val="auto"/>
                <w:kern w:val="2"/>
                <w:sz w:val="21"/>
                <w:szCs w:val="21"/>
              </w:rPr>
              <w:t>成交供应商</w:t>
            </w:r>
            <w:r>
              <w:rPr>
                <w:rFonts w:hint="eastAsia" w:ascii="宋体" w:hAnsi="宋体" w:eastAsia="宋体" w:cs="宋体"/>
                <w:color w:val="auto"/>
                <w:kern w:val="2"/>
              </w:rPr>
              <w:t>需按照磋商文件要求提供货物或服务</w:t>
            </w:r>
            <w:r>
              <w:rPr>
                <w:rFonts w:hint="eastAsia" w:ascii="宋体" w:hAnsi="宋体" w:eastAsia="宋体" w:cs="宋体"/>
                <w:color w:val="auto"/>
                <w:kern w:val="2"/>
                <w:lang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dstrike/>
                <w:color w:val="auto"/>
                <w:kern w:val="2"/>
                <w:em w:val="dot"/>
              </w:rPr>
            </w:pPr>
            <w:r>
              <w:rPr>
                <w:rFonts w:hint="eastAsia" w:ascii="宋体" w:hAnsi="宋体" w:eastAsia="宋体" w:cs="宋体"/>
                <w:color w:val="auto"/>
                <w:kern w:val="2"/>
                <w:sz w:val="21"/>
                <w:szCs w:val="21"/>
              </w:rPr>
              <w:t>13.2.1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ind w:left="210" w:hanging="210"/>
              <w:rPr>
                <w:rFonts w:ascii="宋体" w:hAnsi="宋体" w:eastAsia="宋体" w:cs="宋体"/>
                <w:color w:val="auto"/>
                <w:kern w:val="2"/>
              </w:rPr>
            </w:pPr>
            <w:r>
              <w:rPr>
                <w:rFonts w:hint="eastAsia" w:ascii="宋体" w:hAnsi="宋体" w:eastAsia="宋体" w:cs="宋体"/>
                <w:color w:val="auto"/>
                <w:kern w:val="2"/>
                <w:sz w:val="21"/>
                <w:szCs w:val="21"/>
                <w:lang w:val="zh-CN"/>
              </w:rPr>
              <w:t>进口环节关税和增值税：无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13.3</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响应供应商所报的投标价在合同执行过程中是固定不变的，不得以任何理由予以变更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13.4</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不允许有备选方案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13.5</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不允许附加条件报价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18.1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sz w:val="21"/>
                <w:szCs w:val="21"/>
              </w:rPr>
            </w:pPr>
            <w:r>
              <w:rPr>
                <w:rFonts w:hint="eastAsia" w:ascii="宋体" w:hAnsi="宋体" w:eastAsia="宋体" w:cs="宋体"/>
                <w:color w:val="auto"/>
                <w:kern w:val="2"/>
                <w:sz w:val="21"/>
                <w:szCs w:val="21"/>
              </w:rPr>
              <w:t>本项目不需要提交磋商保证金。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19.1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磋商有效期：90天。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20.1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响应文件份数：正本一份，副本三份，电子文件一份。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四、响应文件的递交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22.1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响应文件递交截止日期、时间和地点：按竞争性磋商文件第一章规定。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b/>
                <w:color w:val="auto"/>
                <w:kern w:val="2"/>
                <w:sz w:val="21"/>
                <w:szCs w:val="21"/>
              </w:rPr>
              <w:t>五、竞争性磋商流程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25.1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本次磋商</w:t>
            </w:r>
            <w:r>
              <w:rPr>
                <w:rFonts w:hint="eastAsia" w:ascii="宋体" w:hAnsi="宋体" w:eastAsia="宋体" w:cs="宋体"/>
                <w:color w:val="auto"/>
                <w:kern w:val="2"/>
                <w:sz w:val="21"/>
                <w:szCs w:val="21"/>
                <w:lang w:eastAsia="zh-TW"/>
              </w:rPr>
              <w:t>依法组建</w:t>
            </w:r>
            <w:r>
              <w:rPr>
                <w:rFonts w:hint="eastAsia" w:ascii="宋体" w:hAnsi="宋体" w:eastAsia="宋体" w:cs="宋体"/>
                <w:color w:val="auto"/>
                <w:kern w:val="2"/>
                <w:sz w:val="21"/>
                <w:szCs w:val="21"/>
              </w:rPr>
              <w:t>磋商小组</w:t>
            </w:r>
            <w:r>
              <w:rPr>
                <w:rFonts w:hint="eastAsia" w:ascii="宋体" w:hAnsi="宋体" w:eastAsia="宋体" w:cs="宋体"/>
                <w:color w:val="auto"/>
                <w:kern w:val="2"/>
                <w:sz w:val="21"/>
                <w:szCs w:val="21"/>
                <w:lang w:eastAsia="zh-TW"/>
              </w:rPr>
              <w:t>，</w:t>
            </w:r>
            <w:r>
              <w:rPr>
                <w:rFonts w:hint="eastAsia" w:ascii="宋体" w:hAnsi="宋体" w:eastAsia="宋体" w:cs="宋体"/>
                <w:bCs/>
                <w:color w:val="auto"/>
                <w:kern w:val="2"/>
                <w:sz w:val="21"/>
                <w:szCs w:val="21"/>
              </w:rPr>
              <w:t>磋商小组人数</w:t>
            </w:r>
            <w:r>
              <w:rPr>
                <w:rFonts w:hint="eastAsia" w:ascii="宋体" w:hAnsi="宋体" w:eastAsia="宋体" w:cs="宋体"/>
                <w:color w:val="auto"/>
                <w:kern w:val="2"/>
                <w:sz w:val="21"/>
                <w:szCs w:val="21"/>
                <w:lang w:val="zh-CN"/>
              </w:rPr>
              <w:t>为3名单数。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27.2</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bCs/>
                <w:color w:val="auto"/>
                <w:kern w:val="2"/>
                <w:sz w:val="21"/>
                <w:szCs w:val="21"/>
              </w:rPr>
              <w:t>评标方法：经磋商确定最终采购需求和提交最后报价的供应商后，由磋商小组采用综合评分法对提交最后报价的供应商的响应文件和最后报价进行综合评分。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27.3</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根据综合评分情况按照评审得分由高到低推荐三名成交候选人。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b/>
                <w:color w:val="auto"/>
                <w:kern w:val="2"/>
                <w:sz w:val="21"/>
                <w:szCs w:val="21"/>
              </w:rPr>
              <w:t>六、授予合同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30.1</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合同签订时间：自《成交通知书》发出之日起三十日内。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99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N w:val="0"/>
              <w:spacing w:after="0"/>
              <w:ind w:left="420"/>
              <w:jc w:val="center"/>
              <w:rPr>
                <w:rFonts w:ascii="宋体" w:hAnsi="宋体" w:eastAsia="宋体" w:cs="宋体"/>
                <w:color w:val="auto"/>
                <w:kern w:val="2"/>
              </w:rPr>
            </w:pPr>
            <w:bookmarkStart w:id="6" w:name="_Toc410738930"/>
            <w:bookmarkEnd w:id="6"/>
            <w:bookmarkStart w:id="7" w:name="_Toc410736130"/>
            <w:bookmarkEnd w:id="7"/>
            <w:r>
              <w:rPr>
                <w:rFonts w:hint="eastAsia" w:ascii="宋体" w:hAnsi="宋体" w:eastAsia="宋体" w:cs="宋体"/>
                <w:b/>
                <w:color w:val="auto"/>
                <w:kern w:val="2"/>
                <w:sz w:val="21"/>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发布媒体</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wordWrap w:val="0"/>
              <w:autoSpaceDE w:val="0"/>
              <w:autoSpaceDN w:val="0"/>
              <w:spacing w:after="0"/>
              <w:rPr>
                <w:rFonts w:ascii="宋体" w:hAnsi="宋体" w:eastAsia="宋体" w:cs="宋体"/>
                <w:color w:val="auto"/>
                <w:kern w:val="2"/>
              </w:rPr>
            </w:pPr>
            <w:r>
              <w:rPr>
                <w:rFonts w:hint="eastAsia" w:ascii="宋体" w:hAnsi="宋体" w:eastAsia="宋体" w:cs="宋体"/>
                <w:bCs/>
                <w:color w:val="auto"/>
                <w:kern w:val="2"/>
                <w:sz w:val="21"/>
                <w:szCs w:val="20"/>
              </w:rPr>
              <w:t>本项目相关公告在</w:t>
            </w:r>
            <w:r>
              <w:rPr>
                <w:rFonts w:hint="eastAsia" w:ascii="宋体" w:hAnsi="宋体" w:eastAsia="宋体" w:cs="宋体"/>
                <w:color w:val="auto"/>
                <w:kern w:val="2"/>
                <w:sz w:val="21"/>
                <w:szCs w:val="21"/>
              </w:rPr>
              <w:t>中国政府采购网(www.ccgp.gov.cn)、广东省政府采购网（www.gdgpo.gov.cn）、广州市政府采购网（http://gzg2b.gzfinance.gov.cn）和广州公信招标有限公司（http://www.gzgxzb.com/）上发布，发布之日即视为有效送达，不再另行通知。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单独密封资料</w:t>
            </w:r>
          </w:p>
        </w:tc>
        <w:tc>
          <w:tcPr>
            <w:tcW w:w="87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rPr>
                <w:rFonts w:ascii="宋体" w:hAnsi="宋体" w:eastAsia="宋体" w:cs="宋体"/>
                <w:bCs/>
                <w:color w:val="auto"/>
                <w:kern w:val="2"/>
                <w:szCs w:val="20"/>
              </w:rPr>
            </w:pPr>
            <w:r>
              <w:rPr>
                <w:rFonts w:hint="eastAsia" w:ascii="宋体" w:hAnsi="宋体" w:eastAsia="宋体" w:cs="宋体"/>
                <w:color w:val="auto"/>
                <w:kern w:val="2"/>
                <w:sz w:val="21"/>
                <w:szCs w:val="21"/>
              </w:rPr>
              <w:t>将</w:t>
            </w:r>
            <w:r>
              <w:rPr>
                <w:rFonts w:hint="eastAsia" w:ascii="宋体" w:hAnsi="宋体" w:eastAsia="宋体" w:cs="宋体"/>
                <w:b/>
                <w:color w:val="auto"/>
                <w:kern w:val="2"/>
                <w:sz w:val="21"/>
                <w:szCs w:val="21"/>
              </w:rPr>
              <w:t>电子文件、开票资料说明函</w:t>
            </w:r>
            <w:r>
              <w:rPr>
                <w:rFonts w:hint="eastAsia" w:ascii="宋体" w:hAnsi="宋体" w:eastAsia="宋体" w:cs="宋体"/>
                <w:color w:val="auto"/>
                <w:kern w:val="2"/>
                <w:sz w:val="21"/>
                <w:szCs w:val="21"/>
              </w:rPr>
              <w:t>一并单独密封提交，并在信封上标明“</w:t>
            </w:r>
            <w:r>
              <w:rPr>
                <w:rFonts w:hint="eastAsia" w:ascii="宋体" w:hAnsi="宋体" w:eastAsia="宋体" w:cs="宋体"/>
                <w:b/>
                <w:color w:val="auto"/>
                <w:kern w:val="2"/>
                <w:sz w:val="21"/>
                <w:szCs w:val="21"/>
              </w:rPr>
              <w:t>单独密封资料</w:t>
            </w:r>
            <w:r>
              <w:rPr>
                <w:rFonts w:hint="eastAsia" w:ascii="宋体" w:hAnsi="宋体" w:eastAsia="宋体" w:cs="宋体"/>
                <w:color w:val="auto"/>
                <w:kern w:val="2"/>
                <w:sz w:val="21"/>
                <w:szCs w:val="21"/>
              </w:rPr>
              <w:t>”字样。</w:t>
            </w:r>
          </w:p>
        </w:tc>
      </w:tr>
    </w:tbl>
    <w:p>
      <w:pPr>
        <w:pStyle w:val="19"/>
        <w:widowControl/>
        <w:rPr>
          <w:color w:val="auto"/>
        </w:rPr>
      </w:pPr>
      <w:r>
        <w:rPr>
          <w:color w:val="auto"/>
          <w:sz w:val="28"/>
          <w:szCs w:val="28"/>
        </w:rPr>
        <w:br w:type="page"/>
      </w:r>
      <w:bookmarkStart w:id="8" w:name="_Toc8290"/>
      <w:bookmarkStart w:id="9" w:name="_Toc379872471"/>
      <w:bookmarkStart w:id="10" w:name="_Toc416771359"/>
      <w:bookmarkStart w:id="11" w:name="_Toc410736174"/>
      <w:bookmarkStart w:id="12" w:name="_Toc410738973"/>
      <w:bookmarkStart w:id="13" w:name="_Toc416770249"/>
      <w:bookmarkStart w:id="14" w:name="_Toc416771320"/>
      <w:bookmarkStart w:id="15" w:name="_Toc410738931"/>
      <w:bookmarkStart w:id="16" w:name="_Toc416770210"/>
      <w:bookmarkStart w:id="17" w:name="_Toc410736131"/>
      <w:r>
        <w:rPr>
          <w:rFonts w:hint="eastAsia" w:cs="宋体"/>
          <w:color w:val="auto"/>
        </w:rPr>
        <w:t>第三章</w:t>
      </w:r>
      <w:r>
        <w:rPr>
          <w:color w:val="auto"/>
        </w:rPr>
        <w:t xml:space="preserve">  </w:t>
      </w:r>
      <w:r>
        <w:rPr>
          <w:rFonts w:hint="eastAsia" w:cs="宋体"/>
          <w:color w:val="auto"/>
        </w:rPr>
        <w:t>评分体系与标准</w:t>
      </w:r>
      <w:bookmarkEnd w:id="8"/>
    </w:p>
    <w:p>
      <w:pPr>
        <w:widowControl w:val="0"/>
        <w:numPr>
          <w:ilvl w:val="0"/>
          <w:numId w:val="12"/>
        </w:numPr>
        <w:tabs>
          <w:tab w:val="left" w:pos="630"/>
        </w:tabs>
        <w:autoSpaceDE w:val="0"/>
        <w:autoSpaceDN w:val="0"/>
        <w:spacing w:after="0" w:line="360" w:lineRule="auto"/>
        <w:jc w:val="both"/>
        <w:rPr>
          <w:rFonts w:ascii="宋体" w:hAnsi="Times New Roman" w:eastAsia="宋体" w:cs="宋体"/>
          <w:color w:val="auto"/>
        </w:rPr>
      </w:pPr>
      <w:r>
        <w:rPr>
          <w:rFonts w:hint="eastAsia" w:ascii="宋体" w:hAnsi="Times New Roman" w:eastAsia="宋体" w:cs="宋体"/>
          <w:color w:val="auto"/>
          <w:sz w:val="21"/>
          <w:szCs w:val="21"/>
        </w:rPr>
        <w:t>本评标办法采用综合评分法。</w:t>
      </w:r>
    </w:p>
    <w:p>
      <w:pPr>
        <w:widowControl w:val="0"/>
        <w:numPr>
          <w:ilvl w:val="0"/>
          <w:numId w:val="12"/>
        </w:numPr>
        <w:tabs>
          <w:tab w:val="left" w:pos="851"/>
        </w:tabs>
        <w:autoSpaceDN w:val="0"/>
        <w:adjustRightInd/>
        <w:spacing w:after="0" w:line="360" w:lineRule="auto"/>
        <w:rPr>
          <w:rFonts w:ascii="宋体" w:hAnsi="宋体" w:eastAsia="宋体" w:cs="宋体"/>
          <w:color w:val="auto"/>
        </w:rPr>
      </w:pPr>
      <w:r>
        <w:rPr>
          <w:rFonts w:hint="eastAsia" w:ascii="宋体" w:hAnsi="宋体" w:eastAsia="宋体" w:cs="宋体"/>
          <w:color w:val="auto"/>
          <w:sz w:val="21"/>
          <w:szCs w:val="21"/>
        </w:rPr>
        <w:t>通过资格、符合性审查的响应供应商方有资格提交最后报价及</w:t>
      </w:r>
      <w:r>
        <w:rPr>
          <w:rFonts w:hint="eastAsia" w:ascii="宋体" w:hAnsi="Times New Roman" w:eastAsia="宋体" w:cs="宋体"/>
          <w:color w:val="auto"/>
          <w:sz w:val="21"/>
          <w:szCs w:val="21"/>
        </w:rPr>
        <w:t>进行技术、商务及价格的详细评审，最后磋商小组出具评标报告。</w:t>
      </w:r>
    </w:p>
    <w:p>
      <w:pPr>
        <w:widowControl w:val="0"/>
        <w:numPr>
          <w:ilvl w:val="0"/>
          <w:numId w:val="12"/>
        </w:numPr>
        <w:tabs>
          <w:tab w:val="left" w:pos="630"/>
        </w:tabs>
        <w:autoSpaceDE w:val="0"/>
        <w:autoSpaceDN w:val="0"/>
        <w:spacing w:after="0" w:line="360" w:lineRule="auto"/>
        <w:jc w:val="both"/>
        <w:rPr>
          <w:rFonts w:ascii="宋体" w:hAnsi="Times New Roman" w:eastAsia="宋体" w:cs="宋体"/>
          <w:color w:val="auto"/>
        </w:rPr>
      </w:pPr>
      <w:r>
        <w:rPr>
          <w:rFonts w:hint="eastAsia" w:ascii="宋体" w:hAnsi="Times New Roman" w:eastAsia="宋体" w:cs="宋体"/>
          <w:color w:val="auto"/>
          <w:sz w:val="21"/>
          <w:szCs w:val="21"/>
        </w:rPr>
        <w:t>评分及其统计：按照评标程序、评分标准以及权重分配的规定，磋商小组各成员分别就各个响应供应商的技术状况、商务状况及其对磋商文件要求的响应情况进行评议和比较，评出其技术评分和商务评分、价格评分相加得出其综合得分。</w:t>
      </w:r>
    </w:p>
    <w:p>
      <w:pPr>
        <w:widowControl w:val="0"/>
        <w:autoSpaceDE w:val="0"/>
        <w:autoSpaceDN w:val="0"/>
        <w:spacing w:after="0"/>
        <w:rPr>
          <w:color w:val="auto"/>
        </w:rPr>
      </w:pPr>
    </w:p>
    <w:p>
      <w:pPr>
        <w:widowControl w:val="0"/>
        <w:numPr>
          <w:ilvl w:val="0"/>
          <w:numId w:val="13"/>
        </w:numPr>
        <w:tabs>
          <w:tab w:val="left" w:pos="851"/>
        </w:tabs>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资格、符合性评审</w:t>
      </w:r>
    </w:p>
    <w:tbl>
      <w:tblPr>
        <w:tblStyle w:val="21"/>
        <w:tblW w:w="91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9"/>
        <w:gridCol w:w="8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989" w:type="dxa"/>
            <w:tcBorders>
              <w:top w:val="single" w:color="auto" w:sz="12" w:space="0"/>
              <w:left w:val="single" w:color="auto" w:sz="12" w:space="0"/>
              <w:bottom w:val="single" w:color="auto" w:sz="6"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b/>
                <w:color w:val="auto"/>
                <w:kern w:val="2"/>
              </w:rPr>
            </w:pPr>
            <w:r>
              <w:rPr>
                <w:rFonts w:hint="eastAsia" w:ascii="宋体" w:hAnsi="Times New Roman" w:eastAsia="宋体" w:cs="宋体"/>
                <w:b/>
                <w:color w:val="auto"/>
                <w:kern w:val="2"/>
              </w:rPr>
              <w:t>序号</w:t>
            </w:r>
          </w:p>
        </w:tc>
        <w:tc>
          <w:tcPr>
            <w:tcW w:w="8131" w:type="dxa"/>
            <w:tcBorders>
              <w:top w:val="single" w:color="auto" w:sz="12"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b/>
                <w:color w:val="auto"/>
                <w:kern w:val="2"/>
              </w:rPr>
            </w:pPr>
            <w:r>
              <w:rPr>
                <w:rFonts w:hint="eastAsia" w:ascii="宋体" w:hAnsi="宋体" w:eastAsia="宋体" w:cs="宋体"/>
                <w:b/>
                <w:color w:val="auto"/>
                <w:kern w:val="2"/>
              </w:rPr>
              <w:t>评审内容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rPr>
              <w:t xml:space="preserve">具备竞争性磋商文件中规定资格要求的及资格证明文件齐全；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rPr>
              <w:t>磋商函已提交并符合竞争性磋商文件要求的；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ind w:left="20" w:hanging="19" w:hangingChars="9"/>
              <w:rPr>
                <w:rFonts w:ascii="宋体" w:hAnsi="宋体" w:eastAsia="宋体" w:cs="宋体"/>
                <w:color w:val="auto"/>
                <w:kern w:val="2"/>
              </w:rPr>
            </w:pPr>
            <w:r>
              <w:rPr>
                <w:rFonts w:hint="eastAsia" w:ascii="宋体" w:hAnsi="宋体" w:eastAsia="宋体" w:cs="宋体"/>
                <w:color w:val="auto"/>
                <w:kern w:val="2"/>
              </w:rPr>
              <w:t>按照竞争性磋商文件规定要求签署、盖章且响应文件有法定代表人签字或盖章（或签字人有法定代表人有效授权书）的；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ind w:left="315" w:hanging="315" w:hangingChars="150"/>
              <w:rPr>
                <w:rFonts w:ascii="宋体" w:hAnsi="宋体" w:eastAsia="宋体" w:cs="宋体"/>
                <w:color w:val="auto"/>
                <w:kern w:val="2"/>
              </w:rPr>
            </w:pPr>
            <w:r>
              <w:rPr>
                <w:rFonts w:hint="eastAsia" w:ascii="宋体" w:hAnsi="宋体" w:eastAsia="宋体" w:cs="宋体"/>
                <w:color w:val="auto"/>
                <w:kern w:val="2"/>
                <w:sz w:val="21"/>
                <w:szCs w:val="21"/>
              </w:rPr>
              <w:t>最后报价未超过本项目最高限价的；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rPr>
              <w:t>响应文件没有竞争性磋商文件中规定的其它无效投标条款的；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89" w:type="dxa"/>
            <w:tcBorders>
              <w:top w:val="single" w:color="auto" w:sz="6" w:space="0"/>
              <w:left w:val="single" w:color="auto" w:sz="12" w:space="0"/>
              <w:bottom w:val="single" w:color="auto" w:sz="6" w:space="0"/>
              <w:right w:val="single" w:color="auto" w:sz="4" w:space="0"/>
            </w:tcBorders>
            <w:shd w:val="clear" w:color="auto" w:fill="auto"/>
            <w:vAlign w:val="center"/>
          </w:tcPr>
          <w:p>
            <w:pPr>
              <w:widowControl w:val="0"/>
              <w:numPr>
                <w:ilvl w:val="0"/>
                <w:numId w:val="14"/>
              </w:numPr>
              <w:tabs>
                <w:tab w:val="left" w:pos="432"/>
                <w:tab w:val="left" w:pos="612"/>
              </w:tabs>
              <w:autoSpaceDN w:val="0"/>
              <w:adjustRightInd/>
              <w:spacing w:after="0"/>
              <w:jc w:val="center"/>
              <w:rPr>
                <w:rFonts w:ascii="宋体" w:hAnsi="宋体" w:eastAsia="宋体" w:cs="宋体"/>
                <w:color w:val="auto"/>
                <w:kern w:val="2"/>
              </w:rPr>
            </w:pPr>
          </w:p>
        </w:tc>
        <w:tc>
          <w:tcPr>
            <w:tcW w:w="8131" w:type="dxa"/>
            <w:tcBorders>
              <w:top w:val="single" w:color="auto" w:sz="6" w:space="0"/>
              <w:left w:val="single" w:color="auto" w:sz="4" w:space="0"/>
              <w:bottom w:val="single" w:color="auto" w:sz="6" w:space="0"/>
              <w:right w:val="single" w:color="auto" w:sz="12"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rPr>
              <w:t>按有关法律、法规、规章不属于投标无效的。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8" w:hRule="atLeast"/>
          <w:jc w:val="center"/>
        </w:trPr>
        <w:tc>
          <w:tcPr>
            <w:tcW w:w="9120" w:type="dxa"/>
            <w:gridSpan w:val="2"/>
            <w:tcBorders>
              <w:top w:val="single" w:color="auto" w:sz="6" w:space="0"/>
              <w:left w:val="single" w:color="auto" w:sz="12" w:space="0"/>
              <w:bottom w:val="single" w:color="auto" w:sz="12" w:space="0"/>
              <w:right w:val="single" w:color="auto" w:sz="12" w:space="0"/>
            </w:tcBorders>
            <w:shd w:val="clear" w:color="auto" w:fill="auto"/>
            <w:vAlign w:val="center"/>
          </w:tcPr>
          <w:p>
            <w:pPr>
              <w:widowControl w:val="0"/>
              <w:autoSpaceDE w:val="0"/>
              <w:autoSpaceDN w:val="0"/>
              <w:spacing w:after="0"/>
              <w:rPr>
                <w:rFonts w:hint="eastAsia" w:ascii="宋体" w:hAnsi="宋体" w:eastAsia="宋体" w:cs="宋体"/>
                <w:color w:val="auto"/>
                <w:kern w:val="2"/>
              </w:rPr>
            </w:pPr>
            <w:r>
              <w:rPr>
                <w:rFonts w:hint="eastAsia" w:ascii="宋体" w:hAnsi="宋体" w:eastAsia="宋体" w:cs="宋体"/>
                <w:color w:val="auto"/>
                <w:kern w:val="2"/>
              </w:rPr>
              <w:t>备注：</w:t>
            </w:r>
          </w:p>
          <w:p>
            <w:pPr>
              <w:widowControl w:val="0"/>
              <w:autoSpaceDE w:val="0"/>
              <w:autoSpaceDN w:val="0"/>
              <w:spacing w:after="0"/>
              <w:rPr>
                <w:rFonts w:hint="eastAsia" w:ascii="宋体" w:hAnsi="宋体" w:eastAsia="宋体" w:cs="宋体"/>
                <w:color w:val="auto"/>
                <w:kern w:val="2"/>
              </w:rPr>
            </w:pPr>
            <w:r>
              <w:rPr>
                <w:rFonts w:hint="eastAsia" w:ascii="宋体" w:hAnsi="宋体" w:eastAsia="宋体" w:cs="宋体"/>
                <w:color w:val="auto"/>
                <w:kern w:val="2"/>
              </w:rPr>
              <w:t>1.响应供应商必须严格按照资格、符合性评审条款的要求如实提供证明材料并应加盖响应供应商人公章，对缺漏或不符合项将直接导致无效投标，不进入综合评分。</w:t>
            </w:r>
          </w:p>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rPr>
              <w:t>2.序号为4的评审内容在最后报价环节结束后进行评审。</w:t>
            </w:r>
          </w:p>
        </w:tc>
      </w:tr>
    </w:tbl>
    <w:p>
      <w:pPr>
        <w:widowControl w:val="0"/>
        <w:tabs>
          <w:tab w:val="left" w:pos="851"/>
        </w:tabs>
        <w:autoSpaceDE w:val="0"/>
        <w:autoSpaceDN w:val="0"/>
        <w:spacing w:after="0" w:line="360" w:lineRule="auto"/>
        <w:ind w:left="200"/>
        <w:rPr>
          <w:rFonts w:ascii="宋体" w:hAnsi="宋体" w:eastAsia="宋体" w:cs="宋体"/>
          <w:b/>
          <w:color w:val="auto"/>
        </w:rPr>
      </w:pPr>
    </w:p>
    <w:p>
      <w:pPr>
        <w:widowControl w:val="0"/>
        <w:numPr>
          <w:ilvl w:val="0"/>
          <w:numId w:val="13"/>
        </w:numPr>
        <w:tabs>
          <w:tab w:val="left" w:pos="851"/>
        </w:tabs>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br w:type="page"/>
      </w:r>
      <w:r>
        <w:rPr>
          <w:rFonts w:hint="eastAsia" w:ascii="宋体" w:hAnsi="宋体" w:eastAsia="宋体" w:cs="宋体"/>
          <w:b/>
          <w:color w:val="auto"/>
          <w:sz w:val="21"/>
          <w:szCs w:val="21"/>
        </w:rPr>
        <w:t>评审标准</w:t>
      </w:r>
    </w:p>
    <w:p>
      <w:pPr>
        <w:widowControl w:val="0"/>
        <w:autoSpaceDE w:val="0"/>
        <w:autoSpaceDN w:val="0"/>
        <w:spacing w:after="0" w:line="360" w:lineRule="auto"/>
        <w:jc w:val="center"/>
        <w:outlineLvl w:val="2"/>
        <w:rPr>
          <w:rFonts w:ascii="黑体" w:hAnsi="宋体" w:eastAsia="黑体" w:cs="宋体"/>
          <w:color w:val="auto"/>
          <w:sz w:val="28"/>
          <w:szCs w:val="28"/>
        </w:rPr>
      </w:pPr>
      <w:r>
        <w:rPr>
          <w:rFonts w:hint="eastAsia" w:ascii="黑体" w:hAnsi="宋体" w:eastAsia="黑体" w:cs="宋体"/>
          <w:color w:val="auto"/>
          <w:sz w:val="28"/>
          <w:szCs w:val="28"/>
        </w:rPr>
        <w:t>综合评分表</w:t>
      </w:r>
    </w:p>
    <w:tbl>
      <w:tblPr>
        <w:tblStyle w:val="21"/>
        <w:tblW w:w="9596"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81"/>
        <w:gridCol w:w="1588"/>
        <w:gridCol w:w="5858"/>
        <w:gridCol w:w="791"/>
        <w:gridCol w:w="7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7" w:hRule="atLeast"/>
          <w:tblHeader/>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序号</w:t>
            </w: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评审因素</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评分细则</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权重</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6"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bCs/>
                <w:color w:val="auto"/>
                <w:kern w:val="2"/>
                <w:sz w:val="21"/>
                <w:szCs w:val="21"/>
              </w:rPr>
            </w:pPr>
            <w:r>
              <w:rPr>
                <w:rFonts w:hint="eastAsia" w:ascii="宋体" w:hAnsi="宋体" w:eastAsia="宋体" w:cs="宋体"/>
                <w:b/>
                <w:bCs/>
                <w:color w:val="auto"/>
                <w:kern w:val="2"/>
                <w:sz w:val="21"/>
                <w:szCs w:val="21"/>
              </w:rPr>
              <w:t>一</w:t>
            </w:r>
          </w:p>
        </w:tc>
        <w:tc>
          <w:tcPr>
            <w:tcW w:w="9015"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bCs/>
                <w:color w:val="auto"/>
                <w:kern w:val="2"/>
                <w:sz w:val="21"/>
                <w:szCs w:val="21"/>
              </w:rPr>
            </w:pPr>
            <w:r>
              <w:rPr>
                <w:rFonts w:hint="eastAsia" w:ascii="宋体" w:hAnsi="宋体" w:eastAsia="宋体" w:cs="宋体"/>
                <w:b/>
                <w:bCs/>
                <w:color w:val="auto"/>
                <w:kern w:val="2"/>
                <w:sz w:val="21"/>
                <w:szCs w:val="21"/>
              </w:rPr>
              <w:t>技术部分(合计50分)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“防消一体化”调度指挥体系及微型消防站调度指挥机制建设</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优于用户需求的，内容详细完整、创新性和可行性较强，得12分；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完全满足用户需求的，内容较完整，创新性和可行性较好，得9分；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部分满足用户需求的，内容有缺欠缺，创新性和可行性较低，得6分；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不满足用户需求的，内容不完整，创新性和可行性较差的，得1分；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sz w:val="21"/>
                <w:szCs w:val="21"/>
              </w:rPr>
              <w:t>12%</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12分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rPr>
              <w:t>消防安全网格化排查实施</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针对本项目制定消防安全网格化排查的实施方案：</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方案完整性、创造性、可行性强的，得10分；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方案完整性、创造性、可行性较强的，得7分；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方案完整性、创造性、可行性一般的，得3分；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方案完整性、创造性、可行性较差的，得0分；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rPr>
              <w:t>10%</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rPr>
              <w:t>重点场所评估检测</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针对本项目制定有效的重点场所评估检测的解决方案和进度安排：</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进度安排合理性、可操作性强，解决方案详细可行，得13分；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进度安排合理性、可操作性较强，解决方案较可行，得10分；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进度安排合理性、可操作性一般，解决方案一般，得6分；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进度安排合理性、可操作性差，解决方案可行性差，得1分；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rPr>
              <w:t>13%</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13分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color w:val="auto"/>
                <w:sz w:val="21"/>
                <w:szCs w:val="21"/>
              </w:rPr>
              <w:t>物流仓储消防安全标准化管理调研</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针对本项目提出有效的物流仓储消防安全标准化管理调研方案：</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内容详细，可行性、针对性强的，得</w:t>
            </w:r>
            <w:r>
              <w:rPr>
                <w:rFonts w:hint="eastAsia" w:ascii="宋体" w:hAnsi="宋体" w:eastAsia="宋体" w:cs="宋体"/>
                <w:color w:val="auto"/>
                <w:kern w:val="2"/>
                <w:sz w:val="21"/>
                <w:szCs w:val="21"/>
                <w:lang w:val="en-US" w:eastAsia="zh-CN"/>
              </w:rPr>
              <w:t>10</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内容较详细，可行性、针对性较强的，得</w:t>
            </w:r>
            <w:r>
              <w:rPr>
                <w:rFonts w:hint="eastAsia" w:ascii="宋体" w:hAnsi="宋体" w:eastAsia="宋体" w:cs="宋体"/>
                <w:color w:val="auto"/>
                <w:kern w:val="2"/>
                <w:sz w:val="21"/>
                <w:szCs w:val="21"/>
                <w:lang w:val="en-US" w:eastAsia="zh-CN"/>
              </w:rPr>
              <w:t>7</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内容简单，可行性、针对性一般的，得</w:t>
            </w:r>
            <w:r>
              <w:rPr>
                <w:rFonts w:hint="eastAsia" w:ascii="宋体" w:hAnsi="宋体" w:eastAsia="宋体" w:cs="宋体"/>
                <w:color w:val="auto"/>
                <w:kern w:val="2"/>
                <w:sz w:val="21"/>
                <w:szCs w:val="21"/>
                <w:lang w:val="en-US" w:eastAsia="zh-CN"/>
              </w:rPr>
              <w:t>3</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内容粗略，可行性、针对性较差的，得0分；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lang w:val="en-US" w:eastAsia="zh-CN"/>
              </w:rPr>
              <w:t>10</w:t>
            </w:r>
            <w:r>
              <w:rPr>
                <w:rFonts w:hint="eastAsia" w:ascii="宋体" w:hAnsi="宋体" w:eastAsia="宋体" w:cs="宋体"/>
                <w:bCs/>
                <w:color w:val="auto"/>
                <w:kern w:val="2"/>
                <w:sz w:val="21"/>
                <w:szCs w:val="21"/>
              </w:rPr>
              <w:t>%</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10</w:t>
            </w:r>
            <w:r>
              <w:rPr>
                <w:rFonts w:hint="eastAsia" w:ascii="宋体" w:hAnsi="宋体" w:eastAsia="宋体" w:cs="宋体"/>
                <w:color w:val="auto"/>
                <w:kern w:val="2"/>
                <w:sz w:val="21"/>
                <w:szCs w:val="21"/>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456"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hint="eastAsia" w:ascii="宋体" w:hAnsi="宋体" w:eastAsia="宋体" w:cs="宋体"/>
                <w:color w:val="auto"/>
                <w:kern w:val="2"/>
                <w:sz w:val="21"/>
                <w:szCs w:val="21"/>
              </w:rPr>
            </w:pPr>
            <w:r>
              <w:rPr>
                <w:rFonts w:hint="eastAsia" w:ascii="宋体" w:hAnsi="宋体" w:eastAsia="宋体" w:cs="宋体"/>
                <w:color w:val="auto"/>
                <w:sz w:val="21"/>
                <w:szCs w:val="21"/>
              </w:rPr>
              <w:t>社区消防器材配置</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针对本项目提出社区消防器材配置方案：</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内容详细完整，可行性较强的，得</w:t>
            </w:r>
            <w:r>
              <w:rPr>
                <w:rFonts w:hint="eastAsia" w:ascii="宋体" w:hAnsi="宋体" w:eastAsia="宋体" w:cs="宋体"/>
                <w:color w:val="auto"/>
                <w:kern w:val="2"/>
                <w:sz w:val="21"/>
                <w:szCs w:val="21"/>
                <w:lang w:val="en-US" w:eastAsia="zh-CN"/>
              </w:rPr>
              <w:t>2</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内容简单，可行性一般的，得1分；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内容粗略，可行性较差的，得0分；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lang w:val="en-US" w:eastAsia="zh-CN"/>
              </w:rPr>
              <w:t>2</w:t>
            </w:r>
            <w:r>
              <w:rPr>
                <w:rFonts w:hint="eastAsia" w:ascii="宋体" w:hAnsi="宋体" w:eastAsia="宋体" w:cs="宋体"/>
                <w:bCs/>
                <w:color w:val="auto"/>
                <w:kern w:val="2"/>
                <w:sz w:val="21"/>
                <w:szCs w:val="21"/>
              </w:rPr>
              <w:t>%</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2</w:t>
            </w:r>
            <w:r>
              <w:rPr>
                <w:rFonts w:hint="eastAsia" w:ascii="宋体" w:hAnsi="宋体" w:eastAsia="宋体" w:cs="宋体"/>
                <w:color w:val="auto"/>
                <w:kern w:val="2"/>
                <w:sz w:val="21"/>
                <w:szCs w:val="21"/>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pStyle w:val="36"/>
              <w:widowControl/>
              <w:numPr>
                <w:ilvl w:val="0"/>
                <w:numId w:val="15"/>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试点现场会布置</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针对本项目提出试点现场会布置方案：</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内容针对性、完整性较强的，得</w:t>
            </w:r>
            <w:r>
              <w:rPr>
                <w:rFonts w:hint="eastAsia" w:ascii="宋体" w:hAnsi="宋体" w:eastAsia="宋体" w:cs="宋体"/>
                <w:color w:val="auto"/>
                <w:kern w:val="2"/>
                <w:sz w:val="21"/>
                <w:szCs w:val="21"/>
                <w:lang w:val="en-US" w:eastAsia="zh-CN"/>
              </w:rPr>
              <w:t>3</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内容针对性、完整性比较强的，得</w:t>
            </w:r>
            <w:r>
              <w:rPr>
                <w:rFonts w:hint="eastAsia" w:ascii="宋体" w:hAnsi="宋体" w:eastAsia="宋体" w:cs="宋体"/>
                <w:color w:val="auto"/>
                <w:kern w:val="2"/>
                <w:sz w:val="21"/>
                <w:szCs w:val="21"/>
                <w:lang w:val="en-US" w:eastAsia="zh-CN"/>
              </w:rPr>
              <w:t>2</w:t>
            </w:r>
            <w:r>
              <w:rPr>
                <w:rFonts w:hint="eastAsia" w:ascii="宋体" w:hAnsi="宋体" w:eastAsia="宋体" w:cs="宋体"/>
                <w:color w:val="auto"/>
                <w:kern w:val="2"/>
                <w:sz w:val="21"/>
                <w:szCs w:val="21"/>
              </w:rPr>
              <w:t>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内容针对性、完整性一般的，得1分；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内容针对性、完整性差的，得0分；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无或其他不得分。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jc w:val="center"/>
              <w:rPr>
                <w:rFonts w:hint="eastAsia" w:ascii="宋体" w:hAnsi="宋体" w:eastAsia="宋体" w:cs="宋体"/>
                <w:bCs/>
                <w:color w:val="auto"/>
                <w:kern w:val="2"/>
                <w:sz w:val="21"/>
                <w:szCs w:val="21"/>
              </w:rPr>
            </w:pPr>
            <w:r>
              <w:rPr>
                <w:rFonts w:hint="eastAsia" w:ascii="宋体" w:hAnsi="宋体" w:eastAsia="宋体" w:cs="宋体"/>
                <w:bCs/>
                <w:color w:val="auto"/>
                <w:kern w:val="2"/>
                <w:sz w:val="21"/>
                <w:szCs w:val="21"/>
                <w:lang w:val="en-US" w:eastAsia="zh-CN"/>
              </w:rPr>
              <w:t>3</w:t>
            </w:r>
            <w:r>
              <w:rPr>
                <w:rFonts w:hint="eastAsia" w:ascii="宋体" w:hAnsi="宋体" w:eastAsia="宋体" w:cs="宋体"/>
                <w:bCs/>
                <w:color w:val="auto"/>
                <w:kern w:val="2"/>
                <w:sz w:val="21"/>
                <w:szCs w:val="21"/>
              </w:rPr>
              <w:t>%</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3</w:t>
            </w:r>
            <w:r>
              <w:rPr>
                <w:rFonts w:hint="eastAsia" w:ascii="宋体" w:hAnsi="宋体" w:eastAsia="宋体" w:cs="宋体"/>
                <w:color w:val="auto"/>
                <w:kern w:val="2"/>
                <w:sz w:val="21"/>
                <w:szCs w:val="21"/>
              </w:rPr>
              <w:t>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7" w:hRule="atLeast"/>
        </w:trPr>
        <w:tc>
          <w:tcPr>
            <w:tcW w:w="581"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二</w:t>
            </w:r>
          </w:p>
        </w:tc>
        <w:tc>
          <w:tcPr>
            <w:tcW w:w="9015"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商务部分(合计30分)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4" w:space="0"/>
              <w:right w:val="single" w:color="auto" w:sz="8" w:space="0"/>
            </w:tcBorders>
            <w:shd w:val="clear" w:color="auto" w:fill="auto"/>
            <w:vAlign w:val="center"/>
          </w:tcPr>
          <w:p>
            <w:pPr>
              <w:pStyle w:val="36"/>
              <w:widowControl/>
              <w:numPr>
                <w:ilvl w:val="0"/>
                <w:numId w:val="16"/>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66" w:leftChars="-30" w:right="-92" w:rightChars="-42"/>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业绩情况</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66" w:leftChars="-30" w:right="-92" w:rightChars="-42"/>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自2015年1月1日至今同类项目业绩，每提供一项得1分，最高得6分。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66" w:leftChars="-30" w:right="-92" w:rightChars="-42"/>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说明：提供合同关键页（含签订合同双方的单位名称、合同项目名称、项目金额与含签订合同双方的落款盖章、签订日期的关键页）复印件作为同类业绩评价证明资料。</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66" w:leftChars="-30" w:right="-92" w:rightChars="-42"/>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4" w:space="0"/>
              <w:left w:val="single" w:color="auto" w:sz="8" w:space="0"/>
              <w:bottom w:val="single" w:color="auto" w:sz="4" w:space="0"/>
              <w:right w:val="single" w:color="auto" w:sz="8" w:space="0"/>
            </w:tcBorders>
            <w:shd w:val="clear" w:color="auto" w:fill="auto"/>
            <w:vAlign w:val="center"/>
          </w:tcPr>
          <w:p>
            <w:pPr>
              <w:pStyle w:val="36"/>
              <w:widowControl/>
              <w:numPr>
                <w:ilvl w:val="0"/>
                <w:numId w:val="16"/>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公司资质</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81" w:leftChars="-37"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提供有效期内的下列证书：</w:t>
            </w:r>
          </w:p>
          <w:p>
            <w:pPr>
              <w:keepNext w:val="0"/>
              <w:keepLines w:val="0"/>
              <w:pageBreakBefore w:val="0"/>
              <w:widowControl w:val="0"/>
              <w:numPr>
                <w:ilvl w:val="0"/>
                <w:numId w:val="17"/>
              </w:numPr>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质量管理体系认证证书；</w:t>
            </w:r>
          </w:p>
          <w:p>
            <w:pPr>
              <w:keepNext w:val="0"/>
              <w:keepLines w:val="0"/>
              <w:pageBreakBefore w:val="0"/>
              <w:widowControl w:val="0"/>
              <w:numPr>
                <w:ilvl w:val="0"/>
                <w:numId w:val="17"/>
              </w:numPr>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环境管理体系认证证书；</w:t>
            </w:r>
          </w:p>
          <w:p>
            <w:pPr>
              <w:keepNext w:val="0"/>
              <w:keepLines w:val="0"/>
              <w:pageBreakBefore w:val="0"/>
              <w:widowControl w:val="0"/>
              <w:numPr>
                <w:ilvl w:val="0"/>
                <w:numId w:val="17"/>
              </w:numPr>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职业健康安全管理体系认证证书；</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说明：本项最高得6分，提供有效的证书复印件或打印网站公布的链接信息资料（网址以http://www.cnca.gov.cn/网站公布为准），每缺一项扣2分，不提供不得分。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4" w:space="0"/>
              <w:left w:val="single" w:color="auto" w:sz="8" w:space="0"/>
              <w:bottom w:val="single" w:color="auto" w:sz="4" w:space="0"/>
              <w:right w:val="single" w:color="auto" w:sz="8" w:space="0"/>
            </w:tcBorders>
            <w:shd w:val="clear" w:color="auto" w:fill="auto"/>
            <w:vAlign w:val="center"/>
          </w:tcPr>
          <w:p>
            <w:pPr>
              <w:pStyle w:val="36"/>
              <w:widowControl/>
              <w:numPr>
                <w:ilvl w:val="0"/>
                <w:numId w:val="16"/>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项目经理</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81" w:leftChars="-37"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同时具有有效期内的以下证书，缺少一项不得分：</w:t>
            </w:r>
          </w:p>
          <w:p>
            <w:pPr>
              <w:keepNext w:val="0"/>
              <w:keepLines w:val="0"/>
              <w:pageBreakBefore w:val="0"/>
              <w:widowControl w:val="0"/>
              <w:numPr>
                <w:ilvl w:val="0"/>
                <w:numId w:val="18"/>
              </w:numPr>
              <w:tabs>
                <w:tab w:val="left" w:pos="0"/>
              </w:tabs>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一级注册消防工程师；</w:t>
            </w:r>
          </w:p>
          <w:p>
            <w:pPr>
              <w:keepNext w:val="0"/>
              <w:keepLines w:val="0"/>
              <w:pageBreakBefore w:val="0"/>
              <w:widowControl w:val="0"/>
              <w:numPr>
                <w:ilvl w:val="0"/>
                <w:numId w:val="18"/>
              </w:numPr>
              <w:tabs>
                <w:tab w:val="left" w:pos="0"/>
              </w:tabs>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高级建构筑物消防员或消防设施操作员三级或以上；</w:t>
            </w:r>
          </w:p>
          <w:p>
            <w:pPr>
              <w:keepNext w:val="0"/>
              <w:keepLines w:val="0"/>
              <w:pageBreakBefore w:val="0"/>
              <w:widowControl w:val="0"/>
              <w:numPr>
                <w:ilvl w:val="0"/>
                <w:numId w:val="18"/>
              </w:numPr>
              <w:tabs>
                <w:tab w:val="left" w:pos="0"/>
              </w:tabs>
              <w:kinsoku/>
              <w:wordWrap/>
              <w:overflowPunct/>
              <w:topLinePunct w:val="0"/>
              <w:autoSpaceDE w:val="0"/>
              <w:autoSpaceDN w:val="0"/>
              <w:bidi w:val="0"/>
              <w:adjustRightInd w:val="0"/>
              <w:snapToGrid w:val="0"/>
              <w:spacing w:after="0" w:line="320" w:lineRule="exact"/>
              <w:ind w:left="0" w:firstLine="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高级工程师职称；</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81" w:leftChars="-37"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说明：提供有效期内的证书复印件和2019年10月至今的社保证明材料（需体现缴费年份</w:t>
            </w:r>
            <w:r>
              <w:rPr>
                <w:rFonts w:hint="eastAsia" w:ascii="宋体" w:hAnsi="宋体" w:eastAsia="宋体" w:cs="宋体"/>
                <w:color w:val="auto"/>
                <w:kern w:val="2"/>
                <w:sz w:val="21"/>
                <w:szCs w:val="21"/>
                <w:lang w:eastAsia="zh-CN"/>
              </w:rPr>
              <w:t>及</w:t>
            </w:r>
            <w:r>
              <w:rPr>
                <w:rFonts w:hint="eastAsia" w:ascii="宋体" w:hAnsi="宋体" w:eastAsia="宋体" w:cs="宋体"/>
                <w:color w:val="auto"/>
                <w:kern w:val="2"/>
                <w:sz w:val="21"/>
                <w:szCs w:val="21"/>
              </w:rPr>
              <w:t>月份），社保证明可在社保局网站打印的职工参保证明或由社保局出具，不提供不得分。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4" w:space="0"/>
              <w:left w:val="single" w:color="auto" w:sz="8" w:space="0"/>
              <w:bottom w:val="single" w:color="auto" w:sz="4" w:space="0"/>
              <w:right w:val="single" w:color="auto" w:sz="8" w:space="0"/>
            </w:tcBorders>
            <w:shd w:val="clear" w:color="auto" w:fill="auto"/>
            <w:vAlign w:val="center"/>
          </w:tcPr>
          <w:p>
            <w:pPr>
              <w:pStyle w:val="36"/>
              <w:widowControl/>
              <w:numPr>
                <w:ilvl w:val="0"/>
                <w:numId w:val="16"/>
              </w:numPr>
              <w:ind w:firstLineChars="0"/>
              <w:jc w:val="center"/>
              <w:rPr>
                <w:rFonts w:hint="eastAsia" w:ascii="宋体" w:hAnsi="宋体" w:eastAsia="宋体" w:cs="宋体"/>
                <w:color w:val="auto"/>
                <w:sz w:val="21"/>
                <w:szCs w:val="21"/>
              </w:rPr>
            </w:pP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项目团队</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81" w:leftChars="-37"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每提供一个中级或以上建(构)筑物消防员证或消防设施操作员四级或以上得2分，最高得12分。</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81" w:leftChars="-37" w:right="-77" w:rightChars="-35"/>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说明：提供自2019年10月至今的社保证明材料（需体现缴费年份及月份）及有效证件复印件，不提供不得分。</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12%</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12分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trPr>
        <w:tc>
          <w:tcPr>
            <w:tcW w:w="581" w:type="dxa"/>
            <w:tcBorders>
              <w:top w:val="single" w:color="auto" w:sz="4"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三</w:t>
            </w:r>
          </w:p>
        </w:tc>
        <w:tc>
          <w:tcPr>
            <w:tcW w:w="9015"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价格部分（20分）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83" w:hRule="atLeast"/>
        </w:trPr>
        <w:tc>
          <w:tcPr>
            <w:tcW w:w="58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p>
        </w:tc>
        <w:tc>
          <w:tcPr>
            <w:tcW w:w="1588"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磋商报价</w:t>
            </w:r>
          </w:p>
        </w:tc>
        <w:tc>
          <w:tcPr>
            <w:tcW w:w="585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价格分应当采用低价优先法计算，即满足磋商文件要求且投标价格最低的磋商报价为评标基准价，其价格分为满分。其他响应供应商的价格分统一按照下列公式计算：</w:t>
            </w:r>
          </w:p>
          <w:p>
            <w:pPr>
              <w:keepNext w:val="0"/>
              <w:keepLines w:val="0"/>
              <w:pageBreakBefore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磋商报价得分=(磋商基准价/最后磋商报价)×100×权重</w:t>
            </w:r>
          </w:p>
          <w:p>
            <w:pPr>
              <w:keepNext w:val="0"/>
              <w:keepLines w:val="0"/>
              <w:pageBreakBefore w:val="0"/>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备注：1、因落实政府采购政策进行价格调整的，以调整后的价格计算磋商报价得分,详见《价格扣除》。</w:t>
            </w:r>
          </w:p>
          <w:p>
            <w:pPr>
              <w:keepNext w:val="0"/>
              <w:keepLines w:val="0"/>
              <w:pageBreakBefore w:val="0"/>
              <w:widowControl w:val="0"/>
              <w:numPr>
                <w:ilvl w:val="0"/>
                <w:numId w:val="19"/>
              </w:numPr>
              <w:kinsoku/>
              <w:wordWrap/>
              <w:overflowPunct/>
              <w:topLinePunct w:val="0"/>
              <w:autoSpaceDE w:val="0"/>
              <w:autoSpaceDN w:val="0"/>
              <w:bidi w:val="0"/>
              <w:adjustRightInd w:val="0"/>
              <w:snapToGrid w:val="0"/>
              <w:spacing w:after="0" w:line="32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磋商报价得分四舍五入后，小数点后保留两位有效数。</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line="360" w:lineRule="auto"/>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20% </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line="360" w:lineRule="auto"/>
              <w:ind w:left="-81" w:leftChars="-37" w:right="-77" w:rightChars="-35"/>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 20分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trPr>
        <w:tc>
          <w:tcPr>
            <w:tcW w:w="8027"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bCs/>
                <w:color w:val="auto"/>
                <w:kern w:val="2"/>
                <w:sz w:val="21"/>
                <w:szCs w:val="21"/>
              </w:rPr>
            </w:pPr>
            <w:r>
              <w:rPr>
                <w:rFonts w:hint="eastAsia" w:ascii="宋体" w:hAnsi="宋体" w:eastAsia="宋体" w:cs="宋体"/>
                <w:b/>
                <w:bCs/>
                <w:color w:val="auto"/>
                <w:kern w:val="2"/>
                <w:sz w:val="21"/>
                <w:szCs w:val="21"/>
              </w:rPr>
              <w:t>合计</w:t>
            </w:r>
          </w:p>
        </w:tc>
        <w:tc>
          <w:tcPr>
            <w:tcW w:w="791" w:type="dxa"/>
            <w:tcBorders>
              <w:top w:val="single" w:color="auto" w:sz="8" w:space="0"/>
              <w:left w:val="single" w:color="auto" w:sz="8" w:space="0"/>
              <w:bottom w:val="single" w:color="auto" w:sz="8" w:space="0"/>
              <w:right w:val="single" w:color="auto" w:sz="4"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bCs/>
                <w:color w:val="auto"/>
                <w:kern w:val="2"/>
                <w:sz w:val="21"/>
                <w:szCs w:val="21"/>
              </w:rPr>
            </w:pPr>
            <w:r>
              <w:rPr>
                <w:rFonts w:hint="eastAsia" w:ascii="宋体" w:hAnsi="宋体" w:eastAsia="宋体" w:cs="宋体"/>
                <w:b/>
                <w:bCs/>
                <w:color w:val="auto"/>
                <w:kern w:val="2"/>
                <w:sz w:val="21"/>
                <w:szCs w:val="21"/>
              </w:rPr>
              <w:t xml:space="preserve">100% </w:t>
            </w:r>
          </w:p>
        </w:tc>
        <w:tc>
          <w:tcPr>
            <w:tcW w:w="778"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val="0"/>
              <w:autoSpaceDE w:val="0"/>
              <w:autoSpaceDN w:val="0"/>
              <w:spacing w:after="0"/>
              <w:ind w:left="-81" w:leftChars="-37" w:right="-77" w:rightChars="-35"/>
              <w:jc w:val="center"/>
              <w:rPr>
                <w:rFonts w:hint="eastAsia" w:ascii="宋体" w:hAnsi="宋体" w:eastAsia="宋体" w:cs="宋体"/>
                <w:b/>
                <w:bCs/>
                <w:color w:val="auto"/>
                <w:kern w:val="2"/>
                <w:sz w:val="21"/>
                <w:szCs w:val="21"/>
              </w:rPr>
            </w:pPr>
            <w:r>
              <w:rPr>
                <w:rFonts w:hint="eastAsia" w:ascii="宋体" w:hAnsi="宋体" w:eastAsia="宋体" w:cs="宋体"/>
                <w:b/>
                <w:bCs/>
                <w:color w:val="auto"/>
                <w:kern w:val="2"/>
                <w:sz w:val="21"/>
                <w:szCs w:val="21"/>
              </w:rPr>
              <w:t>100分</w:t>
            </w:r>
          </w:p>
        </w:tc>
      </w:tr>
    </w:tbl>
    <w:p>
      <w:pPr>
        <w:widowControl w:val="0"/>
        <w:autoSpaceDE w:val="0"/>
        <w:autoSpaceDN w:val="0"/>
        <w:spacing w:after="0" w:line="360" w:lineRule="auto"/>
        <w:rPr>
          <w:rFonts w:ascii="宋体" w:hAnsi="Times New Roman" w:eastAsia="宋体" w:cs="宋体"/>
          <w:color w:val="auto"/>
        </w:rPr>
      </w:pPr>
      <w:r>
        <w:rPr>
          <w:rFonts w:hint="eastAsia" w:ascii="宋体" w:hAnsi="Times New Roman" w:eastAsia="宋体" w:cs="宋体"/>
          <w:snapToGrid w:val="0"/>
          <w:color w:val="auto"/>
          <w:sz w:val="21"/>
          <w:szCs w:val="21"/>
        </w:rPr>
        <w:t>备注：</w:t>
      </w:r>
    </w:p>
    <w:p>
      <w:pPr>
        <w:widowControl w:val="0"/>
        <w:numPr>
          <w:ilvl w:val="0"/>
          <w:numId w:val="20"/>
        </w:numPr>
        <w:tabs>
          <w:tab w:val="left" w:pos="284"/>
        </w:tabs>
        <w:autoSpaceDN w:val="0"/>
        <w:adjustRightInd/>
        <w:spacing w:after="0" w:line="360" w:lineRule="auto"/>
        <w:ind w:left="284" w:hanging="284"/>
        <w:jc w:val="both"/>
        <w:rPr>
          <w:rFonts w:ascii="宋体" w:hAnsi="宋体" w:eastAsia="宋体" w:cs="宋体"/>
          <w:bCs/>
          <w:color w:val="auto"/>
        </w:rPr>
      </w:pPr>
      <w:r>
        <w:rPr>
          <w:rFonts w:hint="eastAsia" w:ascii="宋体" w:hAnsi="宋体" w:eastAsia="宋体" w:cs="宋体"/>
          <w:bCs/>
          <w:color w:val="auto"/>
          <w:sz w:val="21"/>
          <w:szCs w:val="21"/>
        </w:rPr>
        <w:t>竞争性磋商文件要求提交的与评价指标体系相关的各类有效资料，响应供应商如未按要求提交的，该项评分为零分。</w:t>
      </w:r>
    </w:p>
    <w:p>
      <w:pPr>
        <w:widowControl w:val="0"/>
        <w:numPr>
          <w:ilvl w:val="0"/>
          <w:numId w:val="20"/>
        </w:numPr>
        <w:tabs>
          <w:tab w:val="left" w:pos="284"/>
        </w:tabs>
        <w:autoSpaceDN w:val="0"/>
        <w:adjustRightInd/>
        <w:spacing w:after="0" w:line="360" w:lineRule="auto"/>
        <w:ind w:left="284" w:hanging="284"/>
        <w:jc w:val="both"/>
        <w:rPr>
          <w:rFonts w:ascii="宋体" w:hAnsi="宋体" w:eastAsia="宋体" w:cs="宋体"/>
          <w:bCs/>
          <w:color w:val="auto"/>
        </w:rPr>
      </w:pPr>
      <w:r>
        <w:rPr>
          <w:rFonts w:hint="eastAsia" w:ascii="宋体" w:hAnsi="宋体" w:eastAsia="宋体" w:cs="宋体"/>
          <w:bCs/>
          <w:color w:val="auto"/>
          <w:sz w:val="21"/>
          <w:szCs w:val="21"/>
        </w:rPr>
        <w:t>技术、商务部分评分：所有评委评分分值的算术平均值（四舍五入后，</w:t>
      </w:r>
      <w:r>
        <w:rPr>
          <w:rFonts w:hint="eastAsia" w:ascii="Arial" w:hAnsi="Arial" w:eastAsia="宋体" w:cs="Arial"/>
          <w:color w:val="auto"/>
          <w:sz w:val="21"/>
          <w:szCs w:val="21"/>
        </w:rPr>
        <w:t>小数点后保留两位有效数</w:t>
      </w:r>
      <w:r>
        <w:rPr>
          <w:rFonts w:hint="eastAsia" w:ascii="宋体" w:hAnsi="宋体" w:eastAsia="宋体" w:cs="宋体"/>
          <w:bCs/>
          <w:color w:val="auto"/>
          <w:sz w:val="21"/>
          <w:szCs w:val="21"/>
        </w:rPr>
        <w:t>）。</w:t>
      </w:r>
    </w:p>
    <w:p>
      <w:pPr>
        <w:spacing w:line="360" w:lineRule="auto"/>
        <w:rPr>
          <w:rFonts w:ascii="宋体" w:hAnsi="宋体" w:eastAsia="宋体" w:cs="Times New Roman"/>
          <w:bCs/>
          <w:color w:val="auto"/>
          <w:sz w:val="21"/>
          <w:szCs w:val="21"/>
        </w:rPr>
        <w:sectPr>
          <w:type w:val="nextColumn"/>
          <w:pgSz w:w="11906" w:h="16838"/>
          <w:pgMar w:top="1418" w:right="1135" w:bottom="1135" w:left="1135" w:header="720" w:footer="720" w:gutter="0"/>
          <w:pgBorders>
            <w:top w:val="none" w:sz="0" w:space="0"/>
            <w:left w:val="none" w:sz="0" w:space="0"/>
            <w:bottom w:val="none" w:sz="0" w:space="0"/>
            <w:right w:val="none" w:sz="0" w:space="0"/>
          </w:pgBorders>
          <w:cols w:space="708" w:num="1"/>
          <w:docGrid w:linePitch="360" w:charSpace="0"/>
        </w:sectPr>
      </w:pPr>
    </w:p>
    <w:p>
      <w:pPr>
        <w:widowControl w:val="0"/>
        <w:autoSpaceDE w:val="0"/>
        <w:autoSpaceDN w:val="0"/>
        <w:spacing w:beforeLines="50" w:afterLines="50" w:line="360" w:lineRule="auto"/>
        <w:jc w:val="center"/>
        <w:outlineLvl w:val="2"/>
        <w:rPr>
          <w:rFonts w:ascii="黑体" w:hAnsi="宋体" w:eastAsia="黑体" w:cs="宋体"/>
          <w:color w:val="auto"/>
          <w:sz w:val="28"/>
          <w:szCs w:val="28"/>
        </w:rPr>
      </w:pPr>
      <w:r>
        <w:rPr>
          <w:rFonts w:hint="eastAsia" w:ascii="黑体" w:hAnsi="宋体" w:eastAsia="黑体" w:cs="宋体"/>
          <w:color w:val="auto"/>
          <w:sz w:val="28"/>
          <w:szCs w:val="28"/>
        </w:rPr>
        <w:t>价 格 扣 除</w:t>
      </w:r>
    </w:p>
    <w:p>
      <w:pPr>
        <w:widowControl w:val="0"/>
        <w:numPr>
          <w:ilvl w:val="0"/>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价格核准：</w:t>
      </w:r>
    </w:p>
    <w:p>
      <w:pPr>
        <w:widowControl w:val="0"/>
        <w:numPr>
          <w:ilvl w:val="1"/>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bCs/>
          <w:color w:val="auto"/>
          <w:sz w:val="21"/>
          <w:szCs w:val="21"/>
        </w:rPr>
        <w:t>磋商小组详细分析、核准价格表，检查其是否存在计算上或累加上的算术错误，修正错误的原则详见第七章第26.10条相关条款。</w:t>
      </w:r>
    </w:p>
    <w:p>
      <w:pPr>
        <w:widowControl w:val="0"/>
        <w:numPr>
          <w:ilvl w:val="0"/>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rPr>
        <w:t>小型和微型企业产品价格扣除</w:t>
      </w:r>
    </w:p>
    <w:p>
      <w:pPr>
        <w:widowControl w:val="0"/>
        <w:numPr>
          <w:ilvl w:val="1"/>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根据财政部、工业和信息化部印发的《政府采购促进中小企业发展暂行办法》（财库[2011]181号）的规定，对小型和微型企业产品的价格给予</w:t>
      </w:r>
      <w:r>
        <w:rPr>
          <w:rFonts w:hint="eastAsia" w:ascii="宋体" w:hAnsi="宋体" w:eastAsia="宋体" w:cs="宋体"/>
          <w:bCs/>
          <w:color w:val="auto"/>
        </w:rPr>
        <w:t>6%的扣除，用扣除后的价格参与评审；投标产品中仅有部分小型和微型企业产品的，则此部分按所投小型和微型企业产品的价格予以扣除。</w:t>
      </w:r>
    </w:p>
    <w:p>
      <w:pPr>
        <w:widowControl w:val="0"/>
        <w:numPr>
          <w:ilvl w:val="1"/>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《政府采购促进中小企业发展暂行办法》所称中小企业（含中型、小型、微型企业，下同）应当同时符合以下条件：</w:t>
      </w:r>
    </w:p>
    <w:p>
      <w:pPr>
        <w:widowControl w:val="0"/>
        <w:numPr>
          <w:ilvl w:val="2"/>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 xml:space="preserve">符合中小企业划分标准； </w:t>
      </w:r>
    </w:p>
    <w:p>
      <w:pPr>
        <w:widowControl w:val="0"/>
        <w:numPr>
          <w:ilvl w:val="2"/>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提供本企业制造的货物、承担的工程或者服务，或者提供其他中小企业制造的货物。本项所称货物不包括使用大型企业注册商标的货物。</w:t>
      </w:r>
    </w:p>
    <w:p>
      <w:pPr>
        <w:widowControl w:val="0"/>
        <w:autoSpaceDE w:val="0"/>
        <w:autoSpaceDN w:val="0"/>
        <w:spacing w:after="0" w:line="360" w:lineRule="auto"/>
        <w:ind w:left="770" w:leftChars="350" w:firstLine="420" w:firstLineChars="200"/>
        <w:rPr>
          <w:rFonts w:ascii="宋体" w:hAnsi="宋体" w:eastAsia="宋体" w:cs="宋体"/>
          <w:bCs/>
          <w:color w:val="auto"/>
        </w:rPr>
      </w:pPr>
      <w:r>
        <w:rPr>
          <w:rFonts w:hint="eastAsia" w:ascii="宋体" w:hAnsi="宋体" w:eastAsia="宋体" w:cs="宋体"/>
          <w:bCs/>
          <w:color w:val="auto"/>
          <w:sz w:val="21"/>
          <w:szCs w:val="21"/>
        </w:rPr>
        <w:t>中小企业划分标准以《工业和信息化部、国家统计局、国家发展和改革委员会、财政部关于印发中小企业划型标准规定的通知》（工信部联企业[2011]300号）规定的划分标准为准。</w:t>
      </w:r>
    </w:p>
    <w:p>
      <w:pPr>
        <w:widowControl w:val="0"/>
        <w:autoSpaceDE w:val="0"/>
        <w:autoSpaceDN w:val="0"/>
        <w:spacing w:after="0" w:line="360" w:lineRule="auto"/>
        <w:ind w:left="330" w:leftChars="150" w:firstLine="420" w:firstLineChars="200"/>
        <w:rPr>
          <w:rFonts w:ascii="宋体" w:hAnsi="宋体" w:eastAsia="宋体" w:cs="宋体"/>
          <w:bCs/>
          <w:color w:val="auto"/>
        </w:rPr>
      </w:pPr>
      <w:r>
        <w:rPr>
          <w:rFonts w:hint="eastAsia" w:ascii="宋体" w:hAnsi="宋体" w:eastAsia="宋体" w:cs="宋体"/>
          <w:bCs/>
          <w:color w:val="auto"/>
          <w:sz w:val="21"/>
          <w:szCs w:val="21"/>
        </w:rPr>
        <w:t>小型、微型企业提供中型企业制造的货物的，视同为中型企业。</w:t>
      </w:r>
    </w:p>
    <w:p>
      <w:pPr>
        <w:widowControl w:val="0"/>
        <w:numPr>
          <w:ilvl w:val="1"/>
          <w:numId w:val="21"/>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参加政府采购活动的中小企业应当提供《中小企业声明函》（格式见第六章响应文件格式），</w:t>
      </w:r>
      <w:r>
        <w:rPr>
          <w:rFonts w:hint="eastAsia" w:ascii="宋体" w:hAnsi="宋体" w:eastAsia="宋体" w:cs="宋体"/>
          <w:color w:val="auto"/>
          <w:sz w:val="21"/>
          <w:szCs w:val="21"/>
        </w:rPr>
        <w:t>如响应供应商为非制造商，其代理产品的制造商也应同时提交</w:t>
      </w:r>
      <w:r>
        <w:rPr>
          <w:rFonts w:hint="eastAsia" w:ascii="宋体" w:hAnsi="宋体" w:eastAsia="宋体" w:cs="宋体"/>
          <w:bCs/>
          <w:color w:val="auto"/>
          <w:sz w:val="21"/>
          <w:szCs w:val="21"/>
        </w:rPr>
        <w:t>《中小企业声明函》，</w:t>
      </w:r>
      <w:r>
        <w:rPr>
          <w:rFonts w:hint="eastAsia" w:ascii="宋体" w:hAnsi="宋体" w:eastAsia="宋体" w:cs="宋体"/>
          <w:color w:val="auto"/>
          <w:sz w:val="21"/>
          <w:szCs w:val="21"/>
        </w:rPr>
        <w:t>否则评审时不能享受相应的价格扣除。</w:t>
      </w:r>
    </w:p>
    <w:p>
      <w:pPr>
        <w:widowControl w:val="0"/>
        <w:numPr>
          <w:ilvl w:val="1"/>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监狱企业产品价格扣除</w:t>
      </w:r>
    </w:p>
    <w:p>
      <w:pPr>
        <w:widowControl w:val="0"/>
        <w:numPr>
          <w:ilvl w:val="2"/>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监狱企业视同小型、微型企业，按上述2.1</w:t>
      </w:r>
      <w:r>
        <w:rPr>
          <w:rFonts w:hint="eastAsia" w:ascii="宋体" w:hAnsi="宋体" w:eastAsia="宋体" w:cs="宋体"/>
          <w:color w:val="auto"/>
        </w:rPr>
        <w:t>条款享受评审中价格扣除。</w:t>
      </w:r>
    </w:p>
    <w:p>
      <w:pPr>
        <w:widowControl w:val="0"/>
        <w:numPr>
          <w:ilvl w:val="2"/>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widowControl w:val="0"/>
        <w:numPr>
          <w:ilvl w:val="2"/>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监狱企业参加政府采购活动时，应当提供由</w:t>
      </w:r>
      <w:r>
        <w:rPr>
          <w:rFonts w:hint="eastAsia" w:ascii="宋体" w:hAnsi="宋体" w:eastAsia="宋体" w:cs="宋体"/>
          <w:color w:val="auto"/>
          <w:sz w:val="21"/>
          <w:szCs w:val="21"/>
          <w:u w:val="single"/>
        </w:rPr>
        <w:t>省级以上监狱管理局、戒毒管理局（含新疆生产建设兵团）出具的属于监狱企业的证明文件</w:t>
      </w:r>
      <w:r>
        <w:rPr>
          <w:rFonts w:hint="eastAsia" w:ascii="宋体" w:hAnsi="宋体" w:eastAsia="宋体" w:cs="宋体"/>
          <w:color w:val="auto"/>
          <w:sz w:val="21"/>
          <w:szCs w:val="21"/>
        </w:rPr>
        <w:t>，否则不予认可。</w:t>
      </w:r>
    </w:p>
    <w:p>
      <w:pPr>
        <w:widowControl w:val="0"/>
        <w:numPr>
          <w:ilvl w:val="1"/>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残疾人福利性单位产品价格扣除</w:t>
      </w:r>
    </w:p>
    <w:p>
      <w:pPr>
        <w:widowControl w:val="0"/>
        <w:numPr>
          <w:ilvl w:val="2"/>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color w:val="auto"/>
          <w:sz w:val="21"/>
          <w:szCs w:val="21"/>
        </w:rPr>
        <w:t>残疾人福利性单位视同小型、微型企业，按上述2.1条款享受评审中价格扣除。</w:t>
      </w:r>
    </w:p>
    <w:p>
      <w:pPr>
        <w:widowControl w:val="0"/>
        <w:numPr>
          <w:ilvl w:val="2"/>
          <w:numId w:val="21"/>
        </w:numPr>
        <w:autoSpaceDN w:val="0"/>
        <w:adjustRightInd/>
        <w:spacing w:after="0" w:line="360" w:lineRule="auto"/>
        <w:jc w:val="both"/>
        <w:rPr>
          <w:rFonts w:ascii="宋体" w:hAnsi="宋体" w:eastAsia="宋体" w:cs="宋体"/>
          <w:color w:val="auto"/>
        </w:rPr>
      </w:pPr>
      <w:r>
        <w:rPr>
          <w:rFonts w:hint="eastAsia" w:ascii="宋体" w:hAnsi="宋体" w:eastAsia="宋体" w:cs="宋体"/>
          <w:bCs/>
          <w:color w:val="auto"/>
          <w:sz w:val="21"/>
          <w:szCs w:val="21"/>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响应文件格式），并对</w:t>
      </w:r>
      <w:r>
        <w:rPr>
          <w:rFonts w:hint="eastAsia" w:ascii="宋体" w:hAnsi="宋体" w:eastAsia="宋体" w:cs="宋体"/>
          <w:color w:val="auto"/>
          <w:sz w:val="21"/>
          <w:szCs w:val="21"/>
        </w:rPr>
        <w:t>声明的真实性负责。一旦成交将在成交公告中公告其声明函，接受社会监督。响应供应商提供的《残疾人福利性单位声明函》与事实不符的，依照《</w:t>
      </w:r>
      <w:r>
        <w:rPr>
          <w:rFonts w:hint="eastAsia" w:ascii="宋体" w:hAnsi="宋体" w:eastAsia="宋体" w:cs="宋体"/>
          <w:bCs/>
          <w:color w:val="auto"/>
          <w:sz w:val="21"/>
          <w:szCs w:val="21"/>
        </w:rPr>
        <w:t>中华人民共和国</w:t>
      </w:r>
      <w:r>
        <w:rPr>
          <w:rFonts w:hint="eastAsia" w:ascii="宋体" w:hAnsi="宋体" w:eastAsia="宋体" w:cs="宋体"/>
          <w:color w:val="auto"/>
          <w:sz w:val="21"/>
          <w:szCs w:val="21"/>
        </w:rPr>
        <w:t>政府采购法》第七十七条第一款的规定追究法律责任。</w:t>
      </w:r>
    </w:p>
    <w:p>
      <w:pPr>
        <w:widowControl w:val="0"/>
        <w:numPr>
          <w:ilvl w:val="1"/>
          <w:numId w:val="21"/>
        </w:numPr>
        <w:autoSpaceDN w:val="0"/>
        <w:adjustRightInd/>
        <w:spacing w:after="0" w:line="360" w:lineRule="auto"/>
        <w:jc w:val="both"/>
        <w:rPr>
          <w:rFonts w:ascii="宋体" w:hAnsi="宋体" w:eastAsia="宋体" w:cs="宋体"/>
          <w:color w:val="auto"/>
          <w:sz w:val="21"/>
          <w:szCs w:val="21"/>
        </w:rPr>
      </w:pPr>
      <w:r>
        <w:rPr>
          <w:rFonts w:hint="eastAsia" w:ascii="宋体" w:hAnsi="宋体" w:eastAsia="宋体" w:cs="宋体"/>
          <w:color w:val="auto"/>
          <w:sz w:val="21"/>
          <w:szCs w:val="21"/>
        </w:rPr>
        <w:t>节能产品、环境标志产品价格扣除：</w:t>
      </w:r>
    </w:p>
    <w:p>
      <w:pPr>
        <w:widowControl w:val="0"/>
        <w:autoSpaceDN w:val="0"/>
        <w:adjustRightInd/>
        <w:spacing w:after="0" w:line="360" w:lineRule="auto"/>
        <w:ind w:left="420" w:hanging="420" w:hangingChars="200"/>
        <w:jc w:val="both"/>
        <w:rPr>
          <w:rFonts w:ascii="宋体" w:hAnsi="宋体" w:eastAsia="宋体" w:cs="宋体"/>
          <w:color w:val="auto"/>
          <w:sz w:val="21"/>
          <w:szCs w:val="21"/>
        </w:rPr>
      </w:pPr>
      <w:r>
        <w:rPr>
          <w:rFonts w:hint="eastAsia" w:ascii="宋体" w:hAnsi="宋体" w:eastAsia="宋体" w:cs="宋体"/>
          <w:color w:val="auto"/>
          <w:sz w:val="21"/>
          <w:szCs w:val="21"/>
        </w:rPr>
        <w:t>2.6.1拟采购产品属于节能产品政府采购品目清单规定必须强制采购的，实行强制采购。</w:t>
      </w:r>
    </w:p>
    <w:p>
      <w:pPr>
        <w:widowControl w:val="0"/>
        <w:autoSpaceDN w:val="0"/>
        <w:adjustRightInd/>
        <w:spacing w:after="0" w:line="360" w:lineRule="auto"/>
        <w:ind w:left="420" w:hanging="420" w:hangingChars="200"/>
        <w:jc w:val="both"/>
        <w:rPr>
          <w:rFonts w:ascii="宋体" w:hAnsi="宋体" w:eastAsia="宋体" w:cs="宋体"/>
          <w:color w:val="auto"/>
          <w:sz w:val="21"/>
          <w:szCs w:val="21"/>
        </w:rPr>
      </w:pPr>
      <w:r>
        <w:rPr>
          <w:rFonts w:hint="eastAsia" w:ascii="宋体" w:hAnsi="宋体" w:eastAsia="宋体" w:cs="宋体"/>
          <w:color w:val="auto"/>
          <w:sz w:val="21"/>
          <w:szCs w:val="21"/>
        </w:rPr>
        <w:t>2.6.2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p>
      <w:pPr>
        <w:widowControl w:val="0"/>
        <w:autoSpaceDN w:val="0"/>
        <w:adjustRightInd/>
        <w:spacing w:after="0" w:line="360" w:lineRule="auto"/>
        <w:ind w:left="420" w:hanging="420" w:hangingChars="200"/>
        <w:jc w:val="both"/>
        <w:rPr>
          <w:rFonts w:ascii="宋体" w:hAnsi="宋体" w:eastAsia="宋体" w:cs="宋体"/>
          <w:color w:val="auto"/>
          <w:sz w:val="21"/>
          <w:szCs w:val="21"/>
        </w:rPr>
      </w:pPr>
      <w:r>
        <w:rPr>
          <w:rFonts w:hint="eastAsia" w:ascii="宋体" w:hAnsi="宋体" w:eastAsia="宋体" w:cs="宋体"/>
          <w:color w:val="auto"/>
          <w:sz w:val="21"/>
          <w:szCs w:val="21"/>
        </w:rPr>
        <w:t>2.6.3属于品目清单范围内的节能或环境标志产品，应当提供国家确定的认证机构出具的、处于有效期之内的节能产品或环境标志产品认证证书复印件，并加盖投标人单位的公章。</w:t>
      </w:r>
    </w:p>
    <w:p>
      <w:pPr>
        <w:widowControl w:val="0"/>
        <w:autoSpaceDN w:val="0"/>
        <w:adjustRightInd/>
        <w:spacing w:after="0" w:line="360" w:lineRule="auto"/>
        <w:ind w:left="440" w:leftChars="200"/>
        <w:jc w:val="both"/>
        <w:rPr>
          <w:rFonts w:ascii="宋体" w:hAnsi="宋体" w:eastAsia="宋体" w:cs="宋体"/>
          <w:color w:val="auto"/>
        </w:rPr>
      </w:pPr>
      <w:r>
        <w:rPr>
          <w:rFonts w:hint="eastAsia" w:ascii="宋体" w:hAnsi="宋体" w:eastAsia="宋体" w:cs="宋体"/>
          <w:color w:val="auto"/>
          <w:sz w:val="21"/>
          <w:szCs w:val="21"/>
        </w:rPr>
        <w:t>响应供应商同时为小型、微型企业、监狱企业、残疾人福利性单位任两种或以上情况的，评审中只享受一次价格扣除，不重复进行价格扣除。</w:t>
      </w:r>
    </w:p>
    <w:p>
      <w:pPr>
        <w:rPr>
          <w:color w:val="auto"/>
        </w:rPr>
        <w:sectPr>
          <w:type w:val="nextColumn"/>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p>
    <w:bookmarkEnd w:id="9"/>
    <w:bookmarkEnd w:id="10"/>
    <w:bookmarkEnd w:id="11"/>
    <w:bookmarkEnd w:id="12"/>
    <w:bookmarkEnd w:id="13"/>
    <w:p>
      <w:pPr>
        <w:pStyle w:val="19"/>
        <w:widowControl/>
        <w:rPr>
          <w:rFonts w:ascii="宋体" w:hAnsi="宋体" w:cs="宋体"/>
          <w:b w:val="0"/>
          <w:color w:val="auto"/>
          <w:sz w:val="28"/>
        </w:rPr>
      </w:pPr>
      <w:bookmarkStart w:id="18" w:name="_Toc11363"/>
      <w:r>
        <w:rPr>
          <w:rFonts w:hint="eastAsia" w:cs="宋体"/>
          <w:color w:val="auto"/>
        </w:rPr>
        <w:t>第四章</w:t>
      </w:r>
      <w:r>
        <w:rPr>
          <w:color w:val="auto"/>
        </w:rPr>
        <w:t xml:space="preserve">  </w:t>
      </w:r>
      <w:r>
        <w:rPr>
          <w:rFonts w:hint="eastAsia" w:cs="宋体"/>
          <w:color w:val="auto"/>
        </w:rPr>
        <w:t>用户需求书</w:t>
      </w:r>
      <w:bookmarkEnd w:id="18"/>
    </w:p>
    <w:p>
      <w:pPr>
        <w:widowControl w:val="0"/>
        <w:numPr>
          <w:ilvl w:val="0"/>
          <w:numId w:val="22"/>
        </w:numPr>
        <w:tabs>
          <w:tab w:val="left" w:pos="426"/>
        </w:tabs>
        <w:autoSpaceDN w:val="0"/>
        <w:adjustRightInd/>
        <w:spacing w:after="0" w:line="360" w:lineRule="auto"/>
        <w:ind w:left="422" w:hanging="422" w:hangingChars="200"/>
        <w:jc w:val="both"/>
        <w:rPr>
          <w:rFonts w:ascii="宋体" w:hAnsi="宋体" w:eastAsia="宋体" w:cs="宋体"/>
          <w:b/>
          <w:color w:val="auto"/>
        </w:rPr>
      </w:pPr>
      <w:r>
        <w:rPr>
          <w:rFonts w:hint="eastAsia" w:ascii="宋体" w:hAnsi="宋体" w:eastAsia="宋体" w:cs="宋体"/>
          <w:b/>
          <w:color w:val="auto"/>
          <w:sz w:val="21"/>
          <w:szCs w:val="21"/>
        </w:rPr>
        <w:t>供应商须对本项目为单位的服务内容进行整体响应，任何只对其中一部分服务内容进行的响应都被视为无效响应。</w:t>
      </w:r>
    </w:p>
    <w:p>
      <w:pPr>
        <w:widowControl w:val="0"/>
        <w:autoSpaceDN w:val="0"/>
        <w:adjustRightInd/>
        <w:spacing w:after="0" w:line="360" w:lineRule="auto"/>
        <w:jc w:val="both"/>
        <w:outlineLvl w:val="1"/>
        <w:rPr>
          <w:rFonts w:ascii="宋体" w:hAnsi="宋体" w:eastAsia="宋体" w:cs="宋体"/>
          <w:b/>
          <w:color w:val="auto"/>
        </w:rPr>
      </w:pPr>
      <w:r>
        <w:rPr>
          <w:rFonts w:hint="eastAsia" w:ascii="宋体" w:hAnsi="宋体" w:eastAsia="宋体" w:cs="宋体"/>
          <w:b/>
          <w:color w:val="auto"/>
          <w:sz w:val="21"/>
          <w:szCs w:val="21"/>
        </w:rPr>
        <w:t>一、项目一览表</w:t>
      </w:r>
    </w:p>
    <w:tbl>
      <w:tblPr>
        <w:tblStyle w:val="21"/>
        <w:tblW w:w="87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6"/>
        <w:gridCol w:w="764"/>
        <w:gridCol w:w="1772"/>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8" w:hRule="atLeast"/>
          <w:jc w:val="center"/>
        </w:trPr>
        <w:tc>
          <w:tcPr>
            <w:tcW w:w="2926" w:type="dxa"/>
            <w:tcBorders>
              <w:top w:val="single" w:color="auto" w:sz="4" w:space="0"/>
              <w:left w:val="single" w:color="auto" w:sz="4" w:space="0"/>
              <w:bottom w:val="sing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rPr>
              <w:t>采购内容</w:t>
            </w:r>
          </w:p>
        </w:tc>
        <w:tc>
          <w:tcPr>
            <w:tcW w:w="764" w:type="dxa"/>
            <w:tcBorders>
              <w:top w:val="single" w:color="auto" w:sz="4" w:space="0"/>
              <w:left w:val="single" w:color="auto" w:sz="4" w:space="0"/>
              <w:bottom w:val="sing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rPr>
              <w:t>数量</w:t>
            </w:r>
          </w:p>
        </w:tc>
        <w:tc>
          <w:tcPr>
            <w:tcW w:w="1772" w:type="dxa"/>
            <w:tcBorders>
              <w:top w:val="single" w:color="auto" w:sz="4" w:space="0"/>
              <w:left w:val="single" w:color="auto" w:sz="4" w:space="0"/>
              <w:bottom w:val="sing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rPr>
              <w:t>最高限价</w:t>
            </w:r>
          </w:p>
        </w:tc>
        <w:tc>
          <w:tcPr>
            <w:tcW w:w="3245" w:type="dxa"/>
            <w:tcBorders>
              <w:top w:val="single" w:color="auto" w:sz="4" w:space="0"/>
              <w:left w:val="single" w:color="auto" w:sz="4" w:space="0"/>
              <w:bottom w:val="sing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8" w:hRule="atLeast"/>
          <w:jc w:val="center"/>
        </w:trPr>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Cs/>
                <w:color w:val="auto"/>
                <w:kern w:val="2"/>
              </w:rPr>
            </w:pPr>
            <w:r>
              <w:rPr>
                <w:rFonts w:hint="eastAsia" w:ascii="宋体" w:hAnsi="宋体" w:eastAsia="宋体" w:cs="宋体"/>
                <w:bCs/>
                <w:color w:val="auto"/>
                <w:kern w:val="2"/>
              </w:rPr>
              <w:t>大源村开展城中村消防安全治理试点工作</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宋体" w:eastAsia="宋体" w:cs="宋体"/>
                <w:bCs/>
                <w:color w:val="auto"/>
                <w:kern w:val="2"/>
              </w:rPr>
            </w:pPr>
            <w:r>
              <w:rPr>
                <w:rFonts w:hint="eastAsia" w:ascii="宋体" w:hAnsi="宋体" w:eastAsia="宋体" w:cs="宋体"/>
                <w:bCs/>
                <w:color w:val="auto"/>
                <w:kern w:val="2"/>
              </w:rPr>
              <w:t>1项</w:t>
            </w:r>
          </w:p>
        </w:tc>
        <w:tc>
          <w:tcPr>
            <w:tcW w:w="17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6"/>
              <w:widowControl/>
              <w:spacing w:line="240" w:lineRule="auto"/>
              <w:rPr>
                <w:rFonts w:ascii="宋体" w:hAnsi="宋体" w:cs="宋体"/>
                <w:color w:val="auto"/>
                <w:spacing w:val="0"/>
                <w:kern w:val="2"/>
                <w:sz w:val="21"/>
              </w:rPr>
            </w:pPr>
            <w:r>
              <w:rPr>
                <w:rFonts w:hint="eastAsia" w:ascii="宋体" w:hAnsi="宋体" w:cs="宋体"/>
                <w:color w:val="auto"/>
                <w:spacing w:val="0"/>
                <w:kern w:val="2"/>
                <w:sz w:val="21"/>
              </w:rPr>
              <w:t>人民币204万元</w:t>
            </w:r>
          </w:p>
        </w:tc>
        <w:tc>
          <w:tcPr>
            <w:tcW w:w="32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6"/>
              <w:widowControl/>
              <w:spacing w:line="240" w:lineRule="auto"/>
              <w:rPr>
                <w:rFonts w:ascii="宋体" w:hAnsi="宋体" w:cs="宋体"/>
                <w:color w:val="auto"/>
                <w:spacing w:val="0"/>
                <w:kern w:val="2"/>
                <w:sz w:val="21"/>
              </w:rPr>
            </w:pPr>
            <w:r>
              <w:rPr>
                <w:rFonts w:hint="eastAsia" w:ascii="宋体" w:hAnsi="宋体" w:cs="宋体"/>
                <w:color w:val="auto"/>
                <w:spacing w:val="0"/>
                <w:kern w:val="2"/>
                <w:sz w:val="21"/>
              </w:rPr>
              <w:t>自合同签订之日起</w:t>
            </w:r>
            <w:r>
              <w:rPr>
                <w:rFonts w:hint="eastAsia" w:ascii="宋体" w:hAnsi="宋体" w:cs="宋体"/>
                <w:color w:val="auto"/>
                <w:spacing w:val="0"/>
                <w:kern w:val="2"/>
                <w:sz w:val="21"/>
                <w:u w:val="single"/>
              </w:rPr>
              <w:t>60</w:t>
            </w:r>
            <w:r>
              <w:rPr>
                <w:rFonts w:hint="eastAsia" w:ascii="宋体" w:hAnsi="宋体" w:cs="宋体"/>
                <w:color w:val="auto"/>
                <w:spacing w:val="0"/>
                <w:kern w:val="2"/>
                <w:sz w:val="21"/>
              </w:rPr>
              <w:t>日历天内</w:t>
            </w:r>
          </w:p>
        </w:tc>
      </w:tr>
    </w:tbl>
    <w:p>
      <w:pPr>
        <w:pStyle w:val="8"/>
        <w:widowControl/>
        <w:numPr>
          <w:ilvl w:val="0"/>
          <w:numId w:val="23"/>
        </w:numPr>
        <w:tabs>
          <w:tab w:val="left" w:pos="540"/>
        </w:tabs>
        <w:adjustRightInd w:val="0"/>
        <w:spacing w:line="360" w:lineRule="auto"/>
        <w:outlineLvl w:val="1"/>
        <w:rPr>
          <w:rFonts w:hint="default" w:hAnsi="宋体"/>
          <w:b/>
          <w:color w:val="auto"/>
          <w:sz w:val="21"/>
        </w:rPr>
      </w:pPr>
      <w:r>
        <w:rPr>
          <w:rFonts w:hAnsi="宋体"/>
          <w:b/>
          <w:color w:val="auto"/>
          <w:sz w:val="21"/>
        </w:rPr>
        <w:t>项目基本概况</w:t>
      </w:r>
    </w:p>
    <w:p>
      <w:pPr>
        <w:pStyle w:val="8"/>
        <w:widowControl/>
        <w:tabs>
          <w:tab w:val="left" w:pos="540"/>
        </w:tabs>
        <w:adjustRightInd w:val="0"/>
        <w:spacing w:line="360" w:lineRule="auto"/>
        <w:ind w:firstLine="420" w:firstLineChars="200"/>
        <w:rPr>
          <w:rFonts w:hint="default" w:hAnsi="宋体" w:cs="宋体"/>
          <w:bCs/>
          <w:color w:val="auto"/>
          <w:sz w:val="21"/>
        </w:rPr>
      </w:pPr>
      <w:r>
        <w:rPr>
          <w:rFonts w:hint="default" w:hAnsi="宋体" w:cs="宋体"/>
          <w:bCs/>
          <w:color w:val="auto"/>
          <w:sz w:val="21"/>
        </w:rPr>
        <w:t>大源村位于广州市白云区沙太公路与南湖交接处，全村25平方公里，共有23个经济合作社，约有人口20万人（2500户），房屋约有7000栋、80000套，在住人口约有120000人，单位约有6000，出租屋、三小场所、物流仓储单位、火灾形势严峻。</w:t>
      </w:r>
    </w:p>
    <w:p>
      <w:pPr>
        <w:pStyle w:val="8"/>
        <w:widowControl/>
        <w:tabs>
          <w:tab w:val="left" w:pos="540"/>
        </w:tabs>
        <w:adjustRightInd w:val="0"/>
        <w:spacing w:line="360" w:lineRule="auto"/>
        <w:ind w:firstLine="420" w:firstLineChars="200"/>
        <w:rPr>
          <w:rFonts w:hint="default" w:hAnsi="宋体" w:cs="宋体"/>
          <w:bCs/>
          <w:color w:val="auto"/>
          <w:sz w:val="21"/>
        </w:rPr>
      </w:pPr>
      <w:r>
        <w:rPr>
          <w:rFonts w:hint="default" w:hAnsi="宋体" w:cs="宋体"/>
          <w:bCs/>
          <w:color w:val="auto"/>
          <w:sz w:val="21"/>
        </w:rPr>
        <w:t>根据工作要求，需要在白云区太和镇大源村开展城中村消防安全治理试点工作，主要开展“防消一体化”机制建设、重点场所评估检测、物流仓储消防安全标准管理制度、社区消防器材配置、试点会议布置等工作。</w:t>
      </w:r>
    </w:p>
    <w:p>
      <w:pPr>
        <w:pStyle w:val="8"/>
        <w:widowControl/>
        <w:tabs>
          <w:tab w:val="left" w:pos="540"/>
        </w:tabs>
        <w:adjustRightInd w:val="0"/>
        <w:spacing w:line="360" w:lineRule="auto"/>
        <w:ind w:firstLine="420" w:firstLineChars="200"/>
        <w:rPr>
          <w:rFonts w:hint="default" w:hAnsi="宋体" w:cs="宋体"/>
          <w:bCs/>
          <w:color w:val="auto"/>
          <w:sz w:val="21"/>
        </w:rPr>
      </w:pPr>
      <w:r>
        <w:rPr>
          <w:rFonts w:hint="default" w:hAnsi="宋体" w:cs="宋体"/>
          <w:bCs/>
          <w:color w:val="auto"/>
          <w:sz w:val="21"/>
        </w:rPr>
        <w:t>项目内容不限于消防安全网格化排查及重点场所评估检测，还包括开展“防消一体化”调度指挥体系及微型消防站调度指挥机制建设、物流仓储消防安全标准管理调研、社区消防器材配置、试点现场会布置等工作。</w:t>
      </w:r>
    </w:p>
    <w:p>
      <w:pPr>
        <w:pStyle w:val="8"/>
        <w:widowControl/>
        <w:numPr>
          <w:ilvl w:val="0"/>
          <w:numId w:val="24"/>
        </w:numPr>
        <w:tabs>
          <w:tab w:val="left" w:pos="540"/>
        </w:tabs>
        <w:adjustRightInd w:val="0"/>
        <w:spacing w:line="360" w:lineRule="auto"/>
        <w:outlineLvl w:val="1"/>
        <w:rPr>
          <w:rFonts w:hint="default" w:hAnsi="宋体"/>
          <w:b/>
          <w:color w:val="auto"/>
          <w:sz w:val="21"/>
        </w:rPr>
      </w:pPr>
      <w:r>
        <w:rPr>
          <w:rFonts w:hAnsi="宋体"/>
          <w:b/>
          <w:color w:val="auto"/>
          <w:sz w:val="21"/>
        </w:rPr>
        <w:t>服务要求</w:t>
      </w:r>
    </w:p>
    <w:p>
      <w:pPr>
        <w:pStyle w:val="8"/>
        <w:widowControl/>
        <w:numPr>
          <w:ilvl w:val="0"/>
          <w:numId w:val="25"/>
        </w:numPr>
        <w:tabs>
          <w:tab w:val="left" w:pos="540"/>
        </w:tabs>
        <w:adjustRightInd w:val="0"/>
        <w:spacing w:line="360" w:lineRule="auto"/>
        <w:rPr>
          <w:rFonts w:hint="default" w:hAnsi="宋体"/>
          <w:bCs/>
          <w:color w:val="auto"/>
          <w:sz w:val="21"/>
        </w:rPr>
      </w:pPr>
      <w:r>
        <w:rPr>
          <w:rFonts w:hAnsi="宋体"/>
          <w:bCs/>
          <w:color w:val="auto"/>
          <w:sz w:val="21"/>
        </w:rPr>
        <w:t>“防消一体化”调度指挥体系及微型消防站调度指挥机制建设</w:t>
      </w:r>
    </w:p>
    <w:p>
      <w:pPr>
        <w:pStyle w:val="8"/>
        <w:widowControl/>
        <w:tabs>
          <w:tab w:val="left" w:pos="540"/>
        </w:tabs>
        <w:adjustRightInd w:val="0"/>
        <w:spacing w:line="360" w:lineRule="auto"/>
        <w:ind w:firstLine="420" w:firstLineChars="200"/>
        <w:rPr>
          <w:rFonts w:hint="default" w:hAnsi="宋体"/>
          <w:bCs/>
          <w:color w:val="auto"/>
          <w:sz w:val="21"/>
        </w:rPr>
      </w:pPr>
      <w:r>
        <w:rPr>
          <w:rFonts w:hint="default" w:hAnsi="宋体"/>
          <w:bCs/>
          <w:color w:val="auto"/>
          <w:sz w:val="21"/>
        </w:rPr>
        <w:t>基于大源村区域的技术专家调研和专业技术人员深入本区域基层调查的基础上，建立“防消一体化”调度指挥体系及微型消防站调度指挥机制，满足“防消一体化”调度指挥体系及微型消防站调度指挥机制建设的需要。</w:t>
      </w:r>
    </w:p>
    <w:p>
      <w:pPr>
        <w:pStyle w:val="8"/>
        <w:widowControl/>
        <w:numPr>
          <w:ilvl w:val="0"/>
          <w:numId w:val="26"/>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从大源村实际出发，整合综治平台、智能充电桩平台，充分发挥现有村委微型消防站点、100多名网格员的作用，建立集隐患上报、“三色”管理、“二维码”管理等统一指挥机制；</w:t>
      </w:r>
    </w:p>
    <w:p>
      <w:pPr>
        <w:pStyle w:val="8"/>
        <w:widowControl/>
        <w:numPr>
          <w:ilvl w:val="0"/>
          <w:numId w:val="26"/>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建立重点单位信息采集和单位录入机制，重点单位管理人对本单位的消防情况进行收集并进行录入，结果录入后，消防主管单位审核，形成消防日常数据的闭环管理；</w:t>
      </w:r>
    </w:p>
    <w:p>
      <w:pPr>
        <w:pStyle w:val="8"/>
        <w:widowControl/>
        <w:numPr>
          <w:ilvl w:val="0"/>
          <w:numId w:val="26"/>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建立“二维码”信息管理指挥机制，在重点单位明显位置张贴消防信息“二维码”，对重点单位的消防安全情况进行核查及管理，评价结论可实时查询，提高数据的真实性和透明度，接受群众和消防部门检查；</w:t>
      </w:r>
    </w:p>
    <w:p>
      <w:pPr>
        <w:pStyle w:val="8"/>
        <w:widowControl/>
        <w:numPr>
          <w:ilvl w:val="0"/>
          <w:numId w:val="26"/>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建立群防群治管理指挥机制，群众或者重点单位管理者发现火灾，可通过多种渠道报警，或者拨打“119”火警电话报警并报送重点单位编号，消防部门可通过指挥平台信息迅速查询建筑物基本情况、建筑物精确地理信息、单位消防安全管理人员联系方式、建筑物主要危险物、建筑物主要消防设施等情况，有效提高火灾救援的针对性和缩短到达火场时间；</w:t>
      </w:r>
    </w:p>
    <w:p>
      <w:pPr>
        <w:pStyle w:val="8"/>
        <w:widowControl/>
        <w:numPr>
          <w:ilvl w:val="0"/>
          <w:numId w:val="26"/>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建立微型消防站调度指挥机制，当发生火灾，消防部门可以通过消防指挥机制调度该社区及附近区域的微型消防站兼职消防人员迅速到达现场，有利于扑灭初起火灾，保护人民的生命财产安全。</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普及、推广“防消一体化”调度指挥体系及微型消防站调度指挥机制建设在消防安全管理中发挥着重要作用。基于大源村区域的技术专家调研和专业技术人员深入本区域基层调查，建立为本区域“量身定做”的消防指挥机制，采用“感、传、知、用”等技术手段，综合利用现场采集、数据技术，通过互联网、无线通信网、专网等通信网络，对消防设施、器材、人员等状态进行智能化感知、识别、定位与跟踪，针对本区域微型消防站的值班情况，建筑消防通道、安全出口规范情况，重点部位、危险区域现场视频进行查看并与火灾报警监控系统进行联动，时刻掌握重点区域的消防情况，彻底解决居住出租房、物流仓储的防火监督管理问题，提高消防管理的技术科技手段。</w:t>
      </w:r>
    </w:p>
    <w:p>
      <w:pPr>
        <w:pStyle w:val="8"/>
        <w:widowControl/>
        <w:numPr>
          <w:ilvl w:val="0"/>
          <w:numId w:val="25"/>
        </w:numPr>
        <w:tabs>
          <w:tab w:val="left" w:pos="540"/>
        </w:tabs>
        <w:adjustRightInd w:val="0"/>
        <w:spacing w:line="360" w:lineRule="auto"/>
        <w:rPr>
          <w:rFonts w:hint="default" w:hAnsi="宋体"/>
          <w:bCs/>
          <w:color w:val="auto"/>
          <w:sz w:val="21"/>
        </w:rPr>
      </w:pPr>
      <w:r>
        <w:rPr>
          <w:rFonts w:hAnsi="宋体"/>
          <w:bCs/>
          <w:color w:val="auto"/>
          <w:sz w:val="21"/>
        </w:rPr>
        <w:t>消防安全网格化排查</w:t>
      </w:r>
    </w:p>
    <w:p>
      <w:pPr>
        <w:pStyle w:val="8"/>
        <w:widowControl/>
        <w:tabs>
          <w:tab w:val="left" w:pos="540"/>
        </w:tabs>
        <w:adjustRightInd w:val="0"/>
        <w:spacing w:line="360" w:lineRule="auto"/>
        <w:ind w:firstLine="420" w:firstLineChars="200"/>
        <w:rPr>
          <w:rFonts w:hint="default" w:hAnsi="宋体"/>
          <w:bCs/>
          <w:color w:val="auto"/>
          <w:sz w:val="21"/>
        </w:rPr>
      </w:pPr>
      <w:r>
        <w:rPr>
          <w:rFonts w:hint="default" w:hAnsi="宋体"/>
          <w:bCs/>
          <w:color w:val="auto"/>
          <w:sz w:val="21"/>
        </w:rPr>
        <w:t>以大源村23个经济合作社为单元，划分若干消防安全管理网格，对网格内的单位、场所、居（村）民楼院、村组实施动态管理，构建“全覆盖、无盲区”的消防管理网络。</w:t>
      </w:r>
    </w:p>
    <w:p>
      <w:pPr>
        <w:pStyle w:val="8"/>
        <w:widowControl/>
        <w:numPr>
          <w:ilvl w:val="0"/>
          <w:numId w:val="27"/>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负责对网格内的消防安全重点单位加强监管，建立消防安全“户籍化”管理档案，包括但不限于大源村内的出租屋、物流仓储企业、“三小”场所；</w:t>
      </w:r>
    </w:p>
    <w:p>
      <w:pPr>
        <w:pStyle w:val="8"/>
        <w:widowControl/>
        <w:numPr>
          <w:ilvl w:val="0"/>
          <w:numId w:val="27"/>
        </w:numPr>
        <w:tabs>
          <w:tab w:val="left" w:pos="540"/>
        </w:tabs>
        <w:adjustRightInd w:val="0"/>
        <w:spacing w:line="360" w:lineRule="auto"/>
        <w:ind w:left="0" w:firstLine="425"/>
        <w:rPr>
          <w:rFonts w:hint="default" w:hAnsi="宋体"/>
          <w:bCs/>
          <w:color w:val="auto"/>
          <w:sz w:val="21"/>
        </w:rPr>
      </w:pPr>
      <w:r>
        <w:rPr>
          <w:rFonts w:hAnsi="宋体"/>
          <w:bCs/>
          <w:color w:val="auto"/>
          <w:sz w:val="21"/>
        </w:rPr>
        <w:t>实现出租屋等重点单位“三色”管理，评价结果可查可视可核；</w:t>
      </w:r>
    </w:p>
    <w:p>
      <w:pPr>
        <w:pStyle w:val="8"/>
        <w:widowControl/>
        <w:numPr>
          <w:ilvl w:val="0"/>
          <w:numId w:val="27"/>
        </w:numPr>
        <w:tabs>
          <w:tab w:val="left" w:pos="540"/>
        </w:tabs>
        <w:adjustRightInd w:val="0"/>
        <w:spacing w:line="360" w:lineRule="auto"/>
        <w:ind w:left="0" w:firstLine="425"/>
        <w:rPr>
          <w:rFonts w:hint="default" w:hAnsi="宋体"/>
          <w:bCs/>
          <w:color w:val="auto"/>
          <w:sz w:val="21"/>
        </w:rPr>
      </w:pPr>
      <w:r>
        <w:rPr>
          <w:rFonts w:hAnsi="宋体"/>
          <w:bCs/>
          <w:color w:val="auto"/>
          <w:sz w:val="21"/>
        </w:rPr>
        <w:t>负责消防巡防队员和保安人员的消防业务培训，充分发挥基层治安防范力量在消防安全网格化管理中的作用，提高防火检查、消防宣传和组织扑救初起火灾的能力。</w:t>
      </w:r>
    </w:p>
    <w:p>
      <w:pPr>
        <w:pStyle w:val="8"/>
        <w:widowControl/>
        <w:numPr>
          <w:ilvl w:val="0"/>
          <w:numId w:val="27"/>
        </w:numPr>
        <w:tabs>
          <w:tab w:val="left" w:pos="540"/>
        </w:tabs>
        <w:adjustRightInd w:val="0"/>
        <w:spacing w:line="360" w:lineRule="auto"/>
        <w:ind w:left="0" w:firstLine="425"/>
        <w:rPr>
          <w:rFonts w:hint="default" w:hAnsi="宋体"/>
          <w:bCs/>
          <w:color w:val="auto"/>
          <w:sz w:val="21"/>
        </w:rPr>
      </w:pPr>
      <w:r>
        <w:rPr>
          <w:rFonts w:hAnsi="宋体"/>
          <w:bCs/>
          <w:color w:val="auto"/>
          <w:sz w:val="21"/>
        </w:rPr>
        <w:t>负责在大源村23个经济合作社设置消防宣传橱窗（标牌），开展有针对性的消防宣传教育，广泛普及防火灭火和逃生自救常识；协助有条件的合作社建设消防教育体验活动室，定期组织居民群众参加消防教育和灭火逃生体验。</w:t>
      </w:r>
    </w:p>
    <w:p>
      <w:pPr>
        <w:pStyle w:val="8"/>
        <w:widowControl/>
        <w:numPr>
          <w:ilvl w:val="0"/>
          <w:numId w:val="27"/>
        </w:numPr>
        <w:tabs>
          <w:tab w:val="left" w:pos="540"/>
        </w:tabs>
        <w:adjustRightInd w:val="0"/>
        <w:spacing w:line="360" w:lineRule="auto"/>
        <w:ind w:left="0" w:firstLine="425"/>
        <w:rPr>
          <w:rFonts w:hint="default" w:hAnsi="宋体"/>
          <w:bCs/>
          <w:color w:val="auto"/>
          <w:sz w:val="21"/>
        </w:rPr>
      </w:pPr>
      <w:r>
        <w:rPr>
          <w:rFonts w:hAnsi="宋体"/>
          <w:bCs/>
          <w:color w:val="auto"/>
          <w:sz w:val="21"/>
        </w:rPr>
        <w:t>负责针对每栋建筑物设置二维码，扫码可得该栋建筑物的基本情况及消防安全情况，让消防安全网格化工作可视化、群众化。</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清晰辖区内重点防火重点单位基本信息和消防设施，对消防违法行为及时进行处理，辖区内重点单位基本进行消防宣传教育、培训工作，有效的向辖区群众宣传消防法律法规知识和消防常识，并接受群众咨询。实施消防管理网格化后，辖区居民的防火意识及扑救初期火灾的能力大大提高，辖区范围内发生的火情大部分能在消防车赶到前被居民自行扑灭，让“网格化”管理模式起到了很好的基础屏障作用，收到良好的社会效益。</w:t>
      </w:r>
    </w:p>
    <w:p>
      <w:pPr>
        <w:pStyle w:val="8"/>
        <w:widowControl/>
        <w:numPr>
          <w:ilvl w:val="0"/>
          <w:numId w:val="25"/>
        </w:numPr>
        <w:tabs>
          <w:tab w:val="left" w:pos="540"/>
        </w:tabs>
        <w:adjustRightInd w:val="0"/>
        <w:spacing w:line="360" w:lineRule="auto"/>
        <w:rPr>
          <w:rFonts w:hint="default" w:hAnsi="宋体"/>
          <w:bCs/>
          <w:color w:val="auto"/>
          <w:sz w:val="21"/>
        </w:rPr>
      </w:pPr>
      <w:r>
        <w:rPr>
          <w:rFonts w:hAnsi="宋体"/>
          <w:bCs/>
          <w:color w:val="auto"/>
          <w:sz w:val="21"/>
        </w:rPr>
        <w:t>重点场所评估检测</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大源村主要重点场所包括出租屋、物流仓储企业、“三小”场所。</w:t>
      </w:r>
    </w:p>
    <w:p>
      <w:pPr>
        <w:pStyle w:val="8"/>
        <w:widowControl/>
        <w:numPr>
          <w:ilvl w:val="0"/>
          <w:numId w:val="28"/>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出租屋，大源村在册登记出租屋约有2100栋、33000套，数量庞大，针对此类重点场所，需要评估检测单位逐栋走访评估检测，评估检测重点包括以下几方面内容：平面布置、安全疏散、消防设施和灭火器材、火灾危险源控制、消防安全管理和宣传教育培训等内容。</w:t>
      </w:r>
    </w:p>
    <w:p>
      <w:pPr>
        <w:pStyle w:val="8"/>
        <w:widowControl/>
        <w:numPr>
          <w:ilvl w:val="0"/>
          <w:numId w:val="28"/>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物流仓储企业，大源村存在数量繁多的物流仓储企业，各企业消防安全状况参差不齐，需要评估检测单位到每家企业深入进行评估检测，评估检测主要针对以下几方面内容：消防安全职责、建筑防火及安全疏散、消防设施器材、消防控制室、用火用电、防火检查和巡查、火灾事故应急处置准备工作、消防宣传教育培训等内容。</w:t>
      </w:r>
    </w:p>
    <w:p>
      <w:pPr>
        <w:pStyle w:val="8"/>
        <w:widowControl/>
        <w:numPr>
          <w:ilvl w:val="0"/>
          <w:numId w:val="28"/>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三小”场所，此类场所数量众多，分散且隐蔽，消防安全隐患不可小视，需要评估检测单位深入城中村中深入走访，评估检测主要包括以下几方面内容：建筑防火及安全疏散、消防设施和灭火器材、火灾危险源控制、日常消防管理、消防宣传教育培训。</w:t>
      </w:r>
    </w:p>
    <w:p>
      <w:pPr>
        <w:pStyle w:val="8"/>
        <w:widowControl/>
        <w:numPr>
          <w:ilvl w:val="0"/>
          <w:numId w:val="28"/>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评估检测工作成果：对采购人委托区域内的消防设施设备按照现行消防法规和相关技术标准进行全面检测后对存在隐患提供整改合理化建议，方案如下：（1）对存在安全隐患的消防设施设备、存在故障的设施设备进行单位、楼宇建档造册、编号、拍照、登记、汇编提交采购人；（2）提交全面准确严谨的检测报告给采购人；（3）协助制定基本概况和消防安全重点部位情况；（4）协助制定消防组织机构和各级消防安全责任人架构图；（5）协助制定消防安全责任人、管理人职责和各类消防安全管理制度；（6）协助制定消防设施、灭火器材配置情况；（7）协助制定微型消防站建设标准和装备配备标准；（8）协助制定灭火和应急疏散预案示意图；（9）协助制定演练方案。</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实现重点场所消防系统的全面评估检测，摸清出租屋、物流仓储企业、“三小”场所的消防具体情况，确保消防系统在实施过程中和建筑营业中严格按有关规程规范实施的保证措施，能有效的确保建筑物的消防系统正常运行，预防火灾、减少火灾损失、减少人员伤亡。根据消防法规，进一步规范消防设施维护保养检测，保障在用消防设施完好有效，依法开展消防设施检测评估。预防火灾的发生，保障公民人生和财产安全，遵照“预防为主，防消结合”的消防工作方针，依照国家和地方有关消防法律法规和技术规范，采用科学客观检测手段进行消防安全检测工作，发现被检测单位存在的消防安全隐患，督促被检测单位及时采取措施整改。对消防系统进行检测，发现消防设备的故障隐患，以达到将故障消灭在萌芽状态中，也是防范火灾的最好手段，以达到消防系统与建筑实际相结合的目的。让检测评估工作通过检测各类消防设施的功能是否处于最佳工作状态，保证在发生意外状况时能立即发挥其作用，将人员及财产损失降至最低。</w:t>
      </w:r>
    </w:p>
    <w:p>
      <w:pPr>
        <w:pStyle w:val="8"/>
        <w:widowControl/>
        <w:numPr>
          <w:ilvl w:val="0"/>
          <w:numId w:val="25"/>
        </w:numPr>
        <w:tabs>
          <w:tab w:val="left" w:pos="540"/>
        </w:tabs>
        <w:adjustRightInd w:val="0"/>
        <w:spacing w:line="360" w:lineRule="auto"/>
        <w:rPr>
          <w:rFonts w:hint="default" w:hAnsi="宋体"/>
          <w:bCs/>
          <w:color w:val="auto"/>
          <w:sz w:val="21"/>
        </w:rPr>
      </w:pPr>
      <w:r>
        <w:rPr>
          <w:rFonts w:hint="default" w:hAnsi="宋体"/>
          <w:bCs/>
          <w:color w:val="auto"/>
          <w:sz w:val="21"/>
        </w:rPr>
        <w:t>物流仓储消防安全标准化管理调研及城中村消防安全综合治理调研、制度建设调研，方案编写</w:t>
      </w:r>
    </w:p>
    <w:p>
      <w:pPr>
        <w:pStyle w:val="8"/>
        <w:widowControl/>
        <w:numPr>
          <w:ilvl w:val="0"/>
          <w:numId w:val="2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大源村存在数量繁多的物流仓储企业，物流仓储的消防安全直接影响了整个区域的安全与发展，为此建立物流仓储消防安全标准化管理也是当前迫切的任务。</w:t>
      </w:r>
    </w:p>
    <w:p>
      <w:pPr>
        <w:pStyle w:val="8"/>
        <w:widowControl/>
        <w:numPr>
          <w:ilvl w:val="0"/>
          <w:numId w:val="30"/>
        </w:numPr>
        <w:adjustRightInd w:val="0"/>
        <w:spacing w:line="360" w:lineRule="auto"/>
        <w:ind w:firstLine="420" w:firstLineChars="200"/>
        <w:rPr>
          <w:rFonts w:hint="default" w:hAnsi="宋体"/>
          <w:bCs/>
          <w:color w:val="auto"/>
          <w:sz w:val="21"/>
        </w:rPr>
      </w:pPr>
      <w:r>
        <w:rPr>
          <w:rFonts w:hint="default" w:hAnsi="宋体"/>
          <w:bCs/>
          <w:color w:val="auto"/>
          <w:sz w:val="21"/>
        </w:rPr>
        <w:t>对物流仓储进行深入的消防安全标准化管理调研；</w:t>
      </w:r>
    </w:p>
    <w:p>
      <w:pPr>
        <w:pStyle w:val="8"/>
        <w:widowControl/>
        <w:numPr>
          <w:ilvl w:val="0"/>
          <w:numId w:val="30"/>
        </w:numPr>
        <w:adjustRightInd w:val="0"/>
        <w:spacing w:line="360" w:lineRule="auto"/>
        <w:ind w:firstLine="420" w:firstLineChars="200"/>
        <w:rPr>
          <w:rFonts w:hint="default" w:hAnsi="宋体"/>
          <w:bCs/>
          <w:color w:val="auto"/>
          <w:sz w:val="21"/>
        </w:rPr>
      </w:pPr>
      <w:r>
        <w:rPr>
          <w:rFonts w:hint="default" w:hAnsi="宋体"/>
          <w:bCs/>
          <w:color w:val="auto"/>
          <w:sz w:val="21"/>
        </w:rPr>
        <w:t>对城中村消防安全综合治理调研；</w:t>
      </w:r>
    </w:p>
    <w:p>
      <w:pPr>
        <w:pStyle w:val="8"/>
        <w:widowControl/>
        <w:numPr>
          <w:ilvl w:val="0"/>
          <w:numId w:val="30"/>
        </w:numPr>
        <w:adjustRightInd w:val="0"/>
        <w:spacing w:line="360" w:lineRule="auto"/>
        <w:ind w:firstLine="420" w:firstLineChars="200"/>
        <w:rPr>
          <w:rFonts w:hint="default" w:hAnsi="宋体"/>
          <w:bCs/>
          <w:color w:val="auto"/>
          <w:sz w:val="21"/>
        </w:rPr>
      </w:pPr>
      <w:r>
        <w:rPr>
          <w:rFonts w:hint="default" w:hAnsi="宋体"/>
          <w:bCs/>
          <w:color w:val="auto"/>
          <w:sz w:val="21"/>
        </w:rPr>
        <w:t>针对此区域物流仓储企业和城中村的特点，进行消防安全标准化制度建设；</w:t>
      </w:r>
    </w:p>
    <w:p>
      <w:pPr>
        <w:pStyle w:val="8"/>
        <w:widowControl/>
        <w:numPr>
          <w:ilvl w:val="0"/>
          <w:numId w:val="30"/>
        </w:numPr>
        <w:adjustRightInd w:val="0"/>
        <w:spacing w:line="360" w:lineRule="auto"/>
        <w:ind w:firstLine="420" w:firstLineChars="200"/>
        <w:rPr>
          <w:rFonts w:hint="default" w:hAnsi="宋体"/>
          <w:bCs/>
          <w:color w:val="auto"/>
          <w:sz w:val="21"/>
        </w:rPr>
      </w:pPr>
      <w:r>
        <w:rPr>
          <w:rFonts w:hint="default" w:hAnsi="宋体"/>
          <w:bCs/>
          <w:color w:val="auto"/>
          <w:sz w:val="21"/>
        </w:rPr>
        <w:t>在充分调研的基础上，针对区域实际，制定物流仓储和城中村消防安全综合治理消防安全标准化制度方案。</w:t>
      </w:r>
    </w:p>
    <w:p>
      <w:pPr>
        <w:pStyle w:val="8"/>
        <w:widowControl/>
        <w:numPr>
          <w:ilvl w:val="0"/>
          <w:numId w:val="2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制定的物流仓储和城中村消防安全标准化制度方案需满足以下要求：</w:t>
      </w:r>
    </w:p>
    <w:p>
      <w:pPr>
        <w:pStyle w:val="8"/>
        <w:widowControl/>
        <w:numPr>
          <w:ilvl w:val="0"/>
          <w:numId w:val="31"/>
        </w:numPr>
        <w:tabs>
          <w:tab w:val="left" w:pos="540"/>
        </w:tabs>
        <w:adjustRightInd w:val="0"/>
        <w:spacing w:line="360" w:lineRule="auto"/>
        <w:ind w:left="0" w:firstLine="425"/>
        <w:rPr>
          <w:rFonts w:hint="default" w:hAnsi="宋体"/>
          <w:bCs/>
          <w:color w:val="auto"/>
          <w:sz w:val="21"/>
        </w:rPr>
      </w:pPr>
      <w:r>
        <w:rPr>
          <w:rFonts w:hAnsi="宋体"/>
          <w:bCs/>
          <w:color w:val="auto"/>
          <w:sz w:val="21"/>
        </w:rPr>
        <w:t>标准符合现行法律法规；</w:t>
      </w:r>
    </w:p>
    <w:p>
      <w:pPr>
        <w:pStyle w:val="8"/>
        <w:widowControl/>
        <w:numPr>
          <w:ilvl w:val="0"/>
          <w:numId w:val="31"/>
        </w:numPr>
        <w:tabs>
          <w:tab w:val="left" w:pos="540"/>
        </w:tabs>
        <w:adjustRightInd w:val="0"/>
        <w:spacing w:line="360" w:lineRule="auto"/>
        <w:ind w:left="0" w:firstLine="425"/>
        <w:rPr>
          <w:rFonts w:hint="default" w:hAnsi="宋体"/>
          <w:bCs/>
          <w:color w:val="auto"/>
          <w:sz w:val="21"/>
        </w:rPr>
      </w:pPr>
      <w:r>
        <w:rPr>
          <w:rFonts w:hAnsi="宋体"/>
          <w:bCs/>
          <w:color w:val="auto"/>
          <w:sz w:val="21"/>
        </w:rPr>
        <w:t>标准易于执行并行之有效；</w:t>
      </w:r>
    </w:p>
    <w:p>
      <w:pPr>
        <w:pStyle w:val="8"/>
        <w:widowControl/>
        <w:numPr>
          <w:ilvl w:val="0"/>
          <w:numId w:val="31"/>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标准化制度包括但不限于：人员办公、宿舍与物流仓储场所的防火间隔及疏散；物流仓储的货物分类标准；危险物品的识别和防火分隔标准；设置的必要消防设施标准；消防安全制度和管理措施；相关部门责任；消防安全教育、培训制度；防火巡查、检查制度。</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物流仓储消防安全标准化管理调研及城中村消防安全综合治理调研，了解区域内物流仓储、城中村消防现状，理解物流仓储、城中村的消防难点、痛点，预防仓储物流场所场所火灾，完善消防安全技术措施，规范消防安全管理要求，降低场所火灾风险，保护人身和财产安全，制定物流仓储、城中村场所消防安全风险排查治理制度。适用于既有的丙、丁、戊类仓储物流场所和城中村各场所的消防安全治理。已经投入使用的仓储物流和城中村场所的消防安全技术措施不符合制度标准要求的，应按制度标准要求进行防火改造，并加强消防安全管理。</w:t>
      </w:r>
    </w:p>
    <w:p>
      <w:pPr>
        <w:pStyle w:val="8"/>
        <w:widowControl/>
        <w:numPr>
          <w:ilvl w:val="0"/>
          <w:numId w:val="25"/>
        </w:numPr>
        <w:tabs>
          <w:tab w:val="left" w:pos="540"/>
        </w:tabs>
        <w:adjustRightInd w:val="0"/>
        <w:spacing w:line="360" w:lineRule="auto"/>
        <w:rPr>
          <w:rFonts w:hint="default" w:hAnsi="宋体"/>
          <w:bCs/>
          <w:color w:val="auto"/>
          <w:sz w:val="21"/>
        </w:rPr>
      </w:pPr>
      <w:r>
        <w:rPr>
          <w:rFonts w:hAnsi="宋体"/>
          <w:bCs/>
          <w:color w:val="auto"/>
          <w:sz w:val="21"/>
        </w:rPr>
        <w:t>社区消防器材配置及消防安全管理制度建设</w:t>
      </w:r>
    </w:p>
    <w:p>
      <w:pPr>
        <w:pStyle w:val="8"/>
        <w:widowControl/>
        <w:numPr>
          <w:ilvl w:val="0"/>
          <w:numId w:val="32"/>
        </w:numPr>
        <w:tabs>
          <w:tab w:val="left" w:pos="540"/>
        </w:tabs>
        <w:adjustRightInd w:val="0"/>
        <w:spacing w:line="360" w:lineRule="auto"/>
        <w:ind w:left="0" w:firstLine="425"/>
        <w:rPr>
          <w:rFonts w:hint="default" w:hAnsi="宋体"/>
          <w:bCs/>
          <w:color w:val="auto"/>
          <w:sz w:val="21"/>
        </w:rPr>
      </w:pPr>
      <w:r>
        <w:rPr>
          <w:rFonts w:hAnsi="宋体"/>
          <w:bCs/>
          <w:color w:val="auto"/>
          <w:sz w:val="21"/>
        </w:rPr>
        <w:t>在23个经济合作社均建设社区消防微型消防站，协助微型消防站选点；</w:t>
      </w:r>
    </w:p>
    <w:p>
      <w:pPr>
        <w:pStyle w:val="8"/>
        <w:widowControl/>
        <w:numPr>
          <w:ilvl w:val="0"/>
          <w:numId w:val="32"/>
        </w:numPr>
        <w:tabs>
          <w:tab w:val="left" w:pos="540"/>
        </w:tabs>
        <w:adjustRightInd w:val="0"/>
        <w:spacing w:line="360" w:lineRule="auto"/>
        <w:ind w:left="0" w:firstLine="425"/>
        <w:rPr>
          <w:rFonts w:hint="default" w:hAnsi="宋体"/>
          <w:bCs/>
          <w:color w:val="auto"/>
          <w:sz w:val="21"/>
        </w:rPr>
      </w:pPr>
      <w:r>
        <w:rPr>
          <w:rFonts w:hAnsi="宋体"/>
          <w:bCs/>
          <w:color w:val="auto"/>
          <w:sz w:val="21"/>
        </w:rPr>
        <w:t>负责微型消防站点建设及相关消防器材采购，器材规格数量不少于以下表格所示：</w:t>
      </w:r>
    </w:p>
    <w:tbl>
      <w:tblPr>
        <w:tblStyle w:val="2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2068"/>
        <w:gridCol w:w="3696"/>
        <w:gridCol w:w="1134"/>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序号</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名称</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规格</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数量</w:t>
            </w:r>
          </w:p>
        </w:tc>
        <w:tc>
          <w:tcPr>
            <w:tcW w:w="1971"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微型消防站柜体</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1.6m*1.2m*0.4m或以上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1971"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建筑灭火器</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5KG/ABC干粉</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水枪</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直流水枪QZ3.5/7.5</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水带</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8-65-25</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涤纶长丝</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灭火防护服</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阻燃抗湿织物</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灭火毯</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1-6公里使用距离或以上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7</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消防头盔</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耐高温260℃</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8</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防护靴</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符合GA-2004标准</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9</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破拆斧</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符合GA 630-2006标准</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10</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消防手套</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阻燃抗湿织物</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11</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消防扳手</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长：380mm，宽：100mm</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p>
            <w:pPr>
              <w:spacing w:after="0"/>
              <w:jc w:val="center"/>
              <w:rPr>
                <w:rFonts w:ascii="宋体" w:hAnsi="宋体" w:eastAsia="宋体" w:cs="宋体"/>
                <w:color w:val="auto"/>
                <w:sz w:val="21"/>
                <w:szCs w:val="21"/>
              </w:rPr>
            </w:pP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12</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防烟面具</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防护时间大于30min</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13</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强光手电</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射程大于100m，续航2小时或以上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bl>
    <w:p>
      <w:pPr>
        <w:pStyle w:val="8"/>
        <w:widowControl/>
        <w:numPr>
          <w:ilvl w:val="0"/>
          <w:numId w:val="32"/>
        </w:numPr>
        <w:tabs>
          <w:tab w:val="left" w:pos="540"/>
        </w:tabs>
        <w:adjustRightInd w:val="0"/>
        <w:spacing w:line="360" w:lineRule="auto"/>
        <w:ind w:left="0" w:firstLine="425"/>
        <w:rPr>
          <w:rFonts w:hint="default" w:hAnsi="宋体"/>
          <w:bCs/>
          <w:color w:val="auto"/>
          <w:sz w:val="21"/>
        </w:rPr>
      </w:pPr>
      <w:r>
        <w:rPr>
          <w:rFonts w:hAnsi="宋体"/>
          <w:bCs/>
          <w:color w:val="auto"/>
          <w:sz w:val="21"/>
        </w:rPr>
        <w:t>负责消防安全管理制度建设。</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每个经济合作社设立社区微型消防站，发挥微型消防站地理距离近、机动灵活的优势，一旦发生来突发情况，执勤人员自可迅速出警处置，以确保达到迅速到达的要求。微型消防站也是解决企业和重点消防单位紧急救援需求的第一梯队，可以第一时间组织成小型战斗力进行初期火灾的扑救度及人员疏散撤离，协助临近单位和企业进行火灾扑救。同时，微型消防站也作为消防宣传的重要场所，制定的消防安全管理制度可帮助群众、企业接触消防、理解消防，让消防安全深入基层，让群众、企业重视消防安全，以达到预防火灾、减少火灾损失的目的。</w:t>
      </w:r>
    </w:p>
    <w:p>
      <w:pPr>
        <w:pStyle w:val="8"/>
        <w:widowControl/>
        <w:numPr>
          <w:ilvl w:val="0"/>
          <w:numId w:val="25"/>
        </w:numPr>
        <w:tabs>
          <w:tab w:val="left" w:pos="540"/>
        </w:tabs>
        <w:adjustRightInd w:val="0"/>
        <w:spacing w:line="360" w:lineRule="auto"/>
        <w:rPr>
          <w:rFonts w:hint="default" w:hAnsi="宋体"/>
          <w:bCs/>
          <w:color w:val="auto"/>
          <w:sz w:val="21"/>
        </w:rPr>
      </w:pPr>
      <w:r>
        <w:rPr>
          <w:rFonts w:hAnsi="宋体"/>
          <w:bCs/>
          <w:color w:val="auto"/>
          <w:sz w:val="21"/>
        </w:rPr>
        <w:t>试点现场会布置及材料总结</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为消防试点工作顺利推进，并加大消防安全宣传教育，在试点工作开展之初举办消防试点工作宣传，让大源村群众、企业积极参与到试点工作中，成交供应商开展消防试点工作宣传工作。</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成交供应商完成各项试点工作后，组织政府机关、消防部门等相关单位进行试点验收，加深群众对消防试点工作的认识，牢固工作成果，让消防试点工作能长期有效的运行。</w:t>
      </w:r>
    </w:p>
    <w:p>
      <w:pPr>
        <w:pStyle w:val="8"/>
        <w:widowControl/>
        <w:numPr>
          <w:ilvl w:val="0"/>
          <w:numId w:val="33"/>
        </w:numPr>
        <w:tabs>
          <w:tab w:val="left" w:pos="540"/>
        </w:tabs>
        <w:adjustRightInd w:val="0"/>
        <w:spacing w:line="360" w:lineRule="auto"/>
        <w:ind w:left="0" w:firstLine="425"/>
        <w:rPr>
          <w:rFonts w:hint="default" w:hAnsi="宋体"/>
          <w:bCs/>
          <w:color w:val="auto"/>
          <w:sz w:val="21"/>
        </w:rPr>
      </w:pPr>
      <w:r>
        <w:rPr>
          <w:rFonts w:hAnsi="宋体"/>
          <w:bCs/>
          <w:color w:val="auto"/>
          <w:sz w:val="21"/>
        </w:rPr>
        <w:t>开展试点工作宣传工作；</w:t>
      </w:r>
    </w:p>
    <w:p>
      <w:pPr>
        <w:pStyle w:val="8"/>
        <w:widowControl/>
        <w:numPr>
          <w:ilvl w:val="0"/>
          <w:numId w:val="33"/>
        </w:numPr>
        <w:tabs>
          <w:tab w:val="left" w:pos="540"/>
        </w:tabs>
        <w:adjustRightInd w:val="0"/>
        <w:spacing w:line="360" w:lineRule="auto"/>
        <w:ind w:left="0" w:firstLine="425"/>
        <w:rPr>
          <w:rFonts w:hint="default" w:hAnsi="宋体"/>
          <w:bCs/>
          <w:color w:val="auto"/>
          <w:sz w:val="21"/>
        </w:rPr>
      </w:pPr>
      <w:r>
        <w:rPr>
          <w:rFonts w:hAnsi="宋体"/>
          <w:bCs/>
          <w:color w:val="auto"/>
          <w:sz w:val="21"/>
        </w:rPr>
        <w:t>开展区域范围内群众、企业宣传教育活动；</w:t>
      </w:r>
    </w:p>
    <w:p>
      <w:pPr>
        <w:pStyle w:val="8"/>
        <w:widowControl/>
        <w:numPr>
          <w:ilvl w:val="0"/>
          <w:numId w:val="33"/>
        </w:numPr>
        <w:tabs>
          <w:tab w:val="left" w:pos="540"/>
        </w:tabs>
        <w:adjustRightInd w:val="0"/>
        <w:spacing w:line="360" w:lineRule="auto"/>
        <w:ind w:left="0" w:firstLine="425"/>
        <w:rPr>
          <w:rFonts w:hint="default" w:hAnsi="宋体"/>
          <w:bCs/>
          <w:color w:val="auto"/>
          <w:sz w:val="21"/>
        </w:rPr>
      </w:pPr>
      <w:r>
        <w:rPr>
          <w:rFonts w:hAnsi="宋体"/>
          <w:bCs/>
          <w:color w:val="auto"/>
          <w:sz w:val="21"/>
        </w:rPr>
        <w:t>配合上级机关部门的调研接待、协调；</w:t>
      </w:r>
    </w:p>
    <w:p>
      <w:pPr>
        <w:pStyle w:val="8"/>
        <w:widowControl/>
        <w:numPr>
          <w:ilvl w:val="0"/>
          <w:numId w:val="33"/>
        </w:numPr>
        <w:tabs>
          <w:tab w:val="left" w:pos="540"/>
        </w:tabs>
        <w:adjustRightInd w:val="0"/>
        <w:spacing w:line="360" w:lineRule="auto"/>
        <w:ind w:left="0" w:firstLine="425"/>
        <w:rPr>
          <w:rFonts w:hint="default" w:hAnsi="宋体" w:cs="宋体"/>
          <w:color w:val="auto"/>
          <w:sz w:val="21"/>
        </w:rPr>
      </w:pPr>
      <w:r>
        <w:rPr>
          <w:rFonts w:hAnsi="宋体"/>
          <w:bCs/>
          <w:color w:val="auto"/>
          <w:sz w:val="21"/>
        </w:rPr>
        <w:t>开展试点工作材料总结。</w:t>
      </w:r>
    </w:p>
    <w:p>
      <w:pPr>
        <w:pStyle w:val="8"/>
        <w:widowControl/>
        <w:tabs>
          <w:tab w:val="left" w:pos="540"/>
        </w:tabs>
        <w:adjustRightInd w:val="0"/>
        <w:spacing w:line="360" w:lineRule="auto"/>
        <w:ind w:firstLine="422" w:firstLineChars="200"/>
        <w:rPr>
          <w:rFonts w:hint="default" w:hAnsi="宋体" w:cs="宋体"/>
          <w:color w:val="auto"/>
          <w:sz w:val="21"/>
        </w:rPr>
      </w:pPr>
      <w:r>
        <w:rPr>
          <w:rFonts w:hint="default" w:hAnsi="宋体" w:cs="宋体"/>
          <w:b/>
          <w:bCs/>
          <w:color w:val="auto"/>
          <w:sz w:val="21"/>
        </w:rPr>
        <w:t>达到效果</w:t>
      </w:r>
      <w:r>
        <w:rPr>
          <w:rFonts w:hint="default" w:hAnsi="宋体" w:cs="宋体"/>
          <w:color w:val="auto"/>
          <w:sz w:val="21"/>
        </w:rPr>
        <w:t>：在基层开展消防讲座和消防安全知识培训，邀请消防领域知名专家、一级注册消防工程师或中级工程师，针对区域特点，以知识讲座与现场消防器材操作有机结合的创新形式，将消防教育和实际操作融入到一体，从理论和实践两个方面让参训人员对消防安全有更加深刻的理解和认识。为区域内的消防专（兼）职人员提供切实有效的消防培训，使消防专（兼）职人员了解所在单位消防系统概况及规章制度，使员工明确自己的岗位职责、工作任务和工作目标。</w:t>
      </w:r>
    </w:p>
    <w:p>
      <w:pPr>
        <w:pStyle w:val="8"/>
        <w:widowControl/>
        <w:tabs>
          <w:tab w:val="left" w:pos="540"/>
        </w:tabs>
        <w:adjustRightInd w:val="0"/>
        <w:spacing w:line="360" w:lineRule="auto"/>
        <w:ind w:firstLine="420" w:firstLineChars="200"/>
        <w:rPr>
          <w:rFonts w:hint="default" w:hAnsi="宋体" w:cs="宋体"/>
          <w:color w:val="auto"/>
          <w:sz w:val="21"/>
        </w:rPr>
      </w:pPr>
      <w:r>
        <w:rPr>
          <w:rFonts w:hint="default" w:hAnsi="宋体" w:cs="宋体"/>
          <w:color w:val="auto"/>
          <w:sz w:val="21"/>
        </w:rPr>
        <w:t>通过试点工作的总结，总结本次活动的经验和成果，有效防止消防安全事故的发生，使得消防安全工作取得进步，促进了各项民生工作的顺利开展。让群众和企业在试点工作中进一步提高对消防安全工作重要性的认识，切实履行消防责任，健全内部责任制，狠抓措施落实，严防各类消防安全责任事故的发生，确保人民群众生命财产安全。 </w:t>
      </w:r>
    </w:p>
    <w:p>
      <w:pPr>
        <w:pStyle w:val="8"/>
        <w:widowControl/>
        <w:numPr>
          <w:ilvl w:val="0"/>
          <w:numId w:val="24"/>
        </w:numPr>
        <w:tabs>
          <w:tab w:val="left" w:pos="540"/>
        </w:tabs>
        <w:adjustRightInd w:val="0"/>
        <w:spacing w:line="360" w:lineRule="auto"/>
        <w:outlineLvl w:val="1"/>
        <w:rPr>
          <w:rFonts w:hint="default" w:hAnsi="宋体"/>
          <w:b/>
          <w:color w:val="auto"/>
          <w:sz w:val="21"/>
        </w:rPr>
      </w:pPr>
      <w:r>
        <w:rPr>
          <w:rFonts w:hint="default" w:hAnsi="宋体"/>
          <w:b/>
          <w:color w:val="auto"/>
          <w:sz w:val="21"/>
        </w:rPr>
        <w:t>项目人员要求</w:t>
      </w:r>
    </w:p>
    <w:p>
      <w:pPr>
        <w:pStyle w:val="8"/>
        <w:widowControl/>
        <w:tabs>
          <w:tab w:val="left" w:pos="540"/>
        </w:tabs>
        <w:adjustRightInd w:val="0"/>
        <w:spacing w:line="360" w:lineRule="auto"/>
        <w:rPr>
          <w:rFonts w:hint="default" w:hAnsi="宋体"/>
          <w:bCs/>
          <w:color w:val="auto"/>
          <w:sz w:val="21"/>
        </w:rPr>
      </w:pPr>
      <w:r>
        <w:rPr>
          <w:rFonts w:hAnsi="宋体"/>
          <w:bCs/>
          <w:color w:val="auto"/>
          <w:sz w:val="21"/>
        </w:rPr>
        <w:t>拟投入</w:t>
      </w:r>
      <w:r>
        <w:rPr>
          <w:rFonts w:hint="default" w:hAnsi="宋体"/>
          <w:bCs/>
          <w:color w:val="auto"/>
          <w:sz w:val="21"/>
        </w:rPr>
        <w:t>本项目人员要求不得少于以下表格要求：</w:t>
      </w:r>
    </w:p>
    <w:tbl>
      <w:tblPr>
        <w:tblStyle w:val="21"/>
        <w:tblW w:w="98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3065"/>
        <w:gridCol w:w="4648"/>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序号</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需求</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人员要求</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“防消一体化”调度指挥体系及机制建设</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项目经理（技术专家）：一级注册消防工程师；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调查人员：建构筑消防员/消防设施操作员5人；</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消防安全网格化排查</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（出租屋约有2100栋）</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排查领队：一级注册消防工程师；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排查队员：建构筑消防员/消防设施操作员10人；</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重点场所评估检测</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（面积约210万㎡）</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评估领队：一级注册消防工程师；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评估检测队员：建构筑消防员/消防设施操作员20人；</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物流仓储消防安全标准化管理调研及城中村消防安全综合治理调研、制度建设调研，方案编写</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技术负责人：一级注册消防工程师；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调研队员：建构筑消防员/消防设施操作员10人；</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45日历天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社区消防器材配置及消防安全管理制度建设</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项目经理：一级注册消防工程师</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jc w:val="center"/>
        </w:trPr>
        <w:tc>
          <w:tcPr>
            <w:tcW w:w="852"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w:t>
            </w:r>
          </w:p>
        </w:tc>
        <w:tc>
          <w:tcPr>
            <w:tcW w:w="306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试点现场会布置及消防宣传培训活动与材料总结</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项目经理：一级注册消防工程师</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3917" w:type="dxa"/>
            <w:gridSpan w:val="2"/>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合计</w:t>
            </w:r>
          </w:p>
        </w:tc>
        <w:tc>
          <w:tcPr>
            <w:tcW w:w="464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一级注册消防工程师：4人；</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建构筑消防员/消防设施操作员:45人</w:t>
            </w:r>
          </w:p>
        </w:tc>
        <w:tc>
          <w:tcPr>
            <w:tcW w:w="12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bl>
    <w:p>
      <w:pPr>
        <w:pStyle w:val="8"/>
        <w:widowControl/>
        <w:numPr>
          <w:ilvl w:val="0"/>
          <w:numId w:val="24"/>
        </w:numPr>
        <w:tabs>
          <w:tab w:val="left" w:pos="540"/>
        </w:tabs>
        <w:adjustRightInd w:val="0"/>
        <w:spacing w:line="360" w:lineRule="auto"/>
        <w:outlineLvl w:val="1"/>
        <w:rPr>
          <w:rFonts w:hint="default" w:hAnsi="宋体"/>
          <w:b/>
          <w:color w:val="auto"/>
          <w:sz w:val="21"/>
        </w:rPr>
      </w:pPr>
      <w:r>
        <w:rPr>
          <w:rFonts w:hint="default" w:hAnsi="宋体"/>
          <w:b/>
          <w:color w:val="auto"/>
          <w:sz w:val="21"/>
        </w:rPr>
        <w:t>履约保证金</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strike w:val="0"/>
          <w:dstrike w:val="0"/>
          <w:color w:val="auto"/>
          <w:sz w:val="21"/>
          <w:szCs w:val="21"/>
          <w:lang w:val="en-US" w:eastAsia="zh-CN"/>
        </w:rPr>
      </w:pPr>
      <w:r>
        <w:rPr>
          <w:rFonts w:hint="default" w:ascii="宋体" w:hAnsi="宋体" w:eastAsia="宋体" w:cs="宋体"/>
          <w:b w:val="0"/>
          <w:bCs/>
          <w:i w:val="0"/>
          <w:iCs w:val="0"/>
          <w:strike w:val="0"/>
          <w:dstrike w:val="0"/>
          <w:color w:val="auto"/>
          <w:sz w:val="21"/>
          <w:szCs w:val="21"/>
          <w:lang w:val="en-US" w:eastAsia="zh-CN"/>
        </w:rPr>
        <w:t>提交时间：合同签订之日起</w:t>
      </w:r>
      <w:r>
        <w:rPr>
          <w:rFonts w:hint="eastAsia" w:ascii="宋体" w:hAnsi="宋体" w:eastAsia="宋体" w:cs="宋体"/>
          <w:b w:val="0"/>
          <w:bCs/>
          <w:i w:val="0"/>
          <w:iCs w:val="0"/>
          <w:strike w:val="0"/>
          <w:dstrike w:val="0"/>
          <w:color w:val="auto"/>
          <w:sz w:val="21"/>
          <w:szCs w:val="21"/>
          <w:lang w:val="en-US" w:eastAsia="zh-CN"/>
        </w:rPr>
        <w:t>7个工作</w:t>
      </w:r>
      <w:r>
        <w:rPr>
          <w:rFonts w:hint="default" w:ascii="宋体" w:hAnsi="宋体" w:eastAsia="宋体" w:cs="宋体"/>
          <w:b w:val="0"/>
          <w:bCs/>
          <w:i w:val="0"/>
          <w:iCs w:val="0"/>
          <w:strike w:val="0"/>
          <w:dstrike w:val="0"/>
          <w:color w:val="auto"/>
          <w:sz w:val="21"/>
          <w:szCs w:val="21"/>
          <w:lang w:val="en-US" w:eastAsia="zh-CN"/>
        </w:rPr>
        <w:t>日内</w:t>
      </w:r>
      <w:r>
        <w:rPr>
          <w:rFonts w:hint="eastAsia" w:ascii="宋体" w:hAnsi="宋体" w:eastAsia="宋体" w:cs="宋体"/>
          <w:b w:val="0"/>
          <w:bCs/>
          <w:i w:val="0"/>
          <w:iCs w:val="0"/>
          <w:strike w:val="0"/>
          <w:dstrike w:val="0"/>
          <w:color w:val="auto"/>
          <w:sz w:val="21"/>
          <w:szCs w:val="21"/>
          <w:lang w:val="en-US" w:eastAsia="zh-CN"/>
        </w:rPr>
        <w:t>成交供应商向采购人提交规定金额的履约保证金</w:t>
      </w:r>
      <w:r>
        <w:rPr>
          <w:rFonts w:hint="default" w:ascii="宋体" w:hAnsi="宋体" w:eastAsia="宋体" w:cs="宋体"/>
          <w:b w:val="0"/>
          <w:bCs/>
          <w:i w:val="0"/>
          <w:iCs w:val="0"/>
          <w:strike w:val="0"/>
          <w:dstrike w:val="0"/>
          <w:color w:val="auto"/>
          <w:sz w:val="21"/>
          <w:szCs w:val="21"/>
          <w:lang w:val="en-US" w:eastAsia="zh-CN"/>
        </w:rPr>
        <w:t>；</w:t>
      </w:r>
      <w:r>
        <w:rPr>
          <w:rFonts w:hint="eastAsia" w:ascii="宋体" w:hAnsi="宋体" w:eastAsia="宋体" w:cs="宋体"/>
          <w:b w:val="0"/>
          <w:bCs/>
          <w:i w:val="0"/>
          <w:iCs w:val="0"/>
          <w:strike w:val="0"/>
          <w:dstrike w:val="0"/>
          <w:color w:val="auto"/>
          <w:sz w:val="21"/>
          <w:szCs w:val="21"/>
          <w:lang w:val="en-US" w:eastAsia="zh-CN"/>
        </w:rPr>
        <w:t>采购人</w:t>
      </w:r>
      <w:r>
        <w:rPr>
          <w:rFonts w:hint="default" w:ascii="宋体" w:hAnsi="宋体" w:eastAsia="宋体" w:cs="宋体"/>
          <w:b w:val="0"/>
          <w:bCs/>
          <w:i w:val="0"/>
          <w:iCs w:val="0"/>
          <w:strike w:val="0"/>
          <w:dstrike w:val="0"/>
          <w:color w:val="auto"/>
          <w:sz w:val="21"/>
          <w:szCs w:val="21"/>
          <w:lang w:val="en-US" w:eastAsia="zh-CN"/>
        </w:rPr>
        <w:t>开具收据作为凭证。</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color w:val="auto"/>
          <w:sz w:val="21"/>
          <w:szCs w:val="21"/>
          <w:lang w:val="en-US" w:eastAsia="zh-CN"/>
        </w:rPr>
      </w:pPr>
      <w:r>
        <w:rPr>
          <w:rFonts w:hint="default" w:ascii="宋体" w:hAnsi="宋体" w:eastAsia="宋体" w:cs="宋体"/>
          <w:b w:val="0"/>
          <w:bCs/>
          <w:i w:val="0"/>
          <w:iCs w:val="0"/>
          <w:color w:val="auto"/>
          <w:sz w:val="21"/>
          <w:szCs w:val="21"/>
          <w:lang w:val="en-US" w:eastAsia="zh-CN"/>
        </w:rPr>
        <w:t>金额：合同（成交）金额的</w:t>
      </w:r>
      <w:r>
        <w:rPr>
          <w:rFonts w:hint="eastAsia" w:ascii="宋体" w:hAnsi="宋体" w:eastAsia="宋体" w:cs="宋体"/>
          <w:b w:val="0"/>
          <w:bCs/>
          <w:i w:val="0"/>
          <w:iCs w:val="0"/>
          <w:color w:val="auto"/>
          <w:sz w:val="21"/>
          <w:szCs w:val="21"/>
          <w:lang w:val="en-US" w:eastAsia="zh-CN"/>
        </w:rPr>
        <w:t>5</w:t>
      </w:r>
      <w:r>
        <w:rPr>
          <w:rFonts w:hint="default" w:ascii="宋体" w:hAnsi="宋体" w:eastAsia="宋体" w:cs="宋体"/>
          <w:b w:val="0"/>
          <w:bCs/>
          <w:i w:val="0"/>
          <w:iCs w:val="0"/>
          <w:color w:val="auto"/>
          <w:sz w:val="21"/>
          <w:szCs w:val="21"/>
          <w:lang w:val="en-US" w:eastAsia="zh-CN"/>
        </w:rPr>
        <w:t xml:space="preserve">%； </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color w:val="auto"/>
          <w:sz w:val="21"/>
          <w:szCs w:val="21"/>
          <w:lang w:val="en-US" w:eastAsia="zh-CN"/>
        </w:rPr>
      </w:pPr>
      <w:r>
        <w:rPr>
          <w:rFonts w:hint="default" w:ascii="宋体" w:hAnsi="宋体" w:eastAsia="宋体" w:cs="宋体"/>
          <w:b w:val="0"/>
          <w:bCs/>
          <w:i w:val="0"/>
          <w:iCs w:val="0"/>
          <w:color w:val="auto"/>
          <w:sz w:val="21"/>
          <w:szCs w:val="21"/>
          <w:lang w:val="en-US" w:eastAsia="zh-CN"/>
        </w:rPr>
        <w:t>方式：</w:t>
      </w:r>
      <w:r>
        <w:rPr>
          <w:rFonts w:hint="default" w:ascii="宋体" w:hAnsi="宋体" w:eastAsia="宋体" w:cs="宋体"/>
          <w:b w:val="0"/>
          <w:bCs/>
          <w:i w:val="0"/>
          <w:iCs w:val="0"/>
          <w:color w:val="auto"/>
          <w:kern w:val="0"/>
          <w:sz w:val="21"/>
          <w:szCs w:val="21"/>
          <w:lang w:val="en-US" w:eastAsia="zh-CN" w:bidi="ar-SA"/>
        </w:rPr>
        <w:t>银行转账或担保机构出具的保函</w:t>
      </w:r>
      <w:r>
        <w:rPr>
          <w:rFonts w:hint="default" w:ascii="宋体" w:hAnsi="宋体" w:eastAsia="宋体" w:cs="宋体"/>
          <w:b w:val="0"/>
          <w:bCs/>
          <w:i w:val="0"/>
          <w:iCs w:val="0"/>
          <w:color w:val="auto"/>
          <w:sz w:val="21"/>
          <w:szCs w:val="21"/>
          <w:lang w:val="en-US" w:eastAsia="zh-CN"/>
        </w:rPr>
        <w:t>；</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color w:val="auto"/>
          <w:kern w:val="0"/>
          <w:sz w:val="21"/>
          <w:szCs w:val="21"/>
          <w:lang w:val="en-US" w:eastAsia="zh-CN" w:bidi="ar-SA"/>
        </w:rPr>
      </w:pPr>
      <w:r>
        <w:rPr>
          <w:rFonts w:hint="default" w:ascii="宋体" w:hAnsi="宋体" w:eastAsia="宋体" w:cs="宋体"/>
          <w:b w:val="0"/>
          <w:bCs/>
          <w:i w:val="0"/>
          <w:iCs w:val="0"/>
          <w:color w:val="auto"/>
          <w:kern w:val="0"/>
          <w:sz w:val="21"/>
          <w:szCs w:val="21"/>
          <w:lang w:val="en-US" w:eastAsia="zh-CN" w:bidi="ar-SA"/>
        </w:rPr>
        <w:t>退还时间及退还方式：在</w:t>
      </w: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完成其全部合同义务，包括任何保证义务后30日内，如为银行转账递交履约保证金的，采购人一次性无息退还；如为担保机构出具保函的到期自动失效</w:t>
      </w:r>
      <w:r>
        <w:rPr>
          <w:rFonts w:hint="eastAsia" w:ascii="宋体" w:hAnsi="宋体" w:eastAsia="宋体" w:cs="宋体"/>
          <w:b w:val="0"/>
          <w:bCs/>
          <w:i w:val="0"/>
          <w:iCs w:val="0"/>
          <w:color w:val="auto"/>
          <w:kern w:val="0"/>
          <w:sz w:val="21"/>
          <w:szCs w:val="21"/>
          <w:lang w:val="en-US" w:eastAsia="zh-CN" w:bidi="ar-SA"/>
        </w:rPr>
        <w:t>。</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color w:val="auto"/>
          <w:kern w:val="0"/>
          <w:sz w:val="21"/>
          <w:szCs w:val="21"/>
          <w:lang w:val="en-US" w:eastAsia="zh-CN" w:bidi="ar-SA"/>
        </w:rPr>
      </w:pP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违反合同及其附件约定的任何义务，采购人有权在履约保证金中直接扣除</w:t>
      </w: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应向采购人支付的违约金或损失赔偿额，如有不足的，</w:t>
      </w: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应对超过的部分予以赔偿。</w:t>
      </w:r>
    </w:p>
    <w:p>
      <w:pPr>
        <w:keepNext w:val="0"/>
        <w:keepLines w:val="0"/>
        <w:pageBreakBefore w:val="0"/>
        <w:widowControl/>
        <w:numPr>
          <w:ilvl w:val="0"/>
          <w:numId w:val="34"/>
        </w:numPr>
        <w:kinsoku/>
        <w:wordWrap/>
        <w:overflowPunct/>
        <w:topLinePunct w:val="0"/>
        <w:autoSpaceDE w:val="0"/>
        <w:autoSpaceDN w:val="0"/>
        <w:bidi w:val="0"/>
        <w:adjustRightInd w:val="0"/>
        <w:snapToGrid w:val="0"/>
        <w:spacing w:after="0" w:line="360" w:lineRule="auto"/>
        <w:ind w:left="0" w:leftChars="0" w:firstLine="425" w:firstLineChars="0"/>
        <w:textAlignment w:val="auto"/>
        <w:rPr>
          <w:rFonts w:hint="default" w:ascii="宋体" w:hAnsi="宋体" w:eastAsia="宋体" w:cs="宋体"/>
          <w:b w:val="0"/>
          <w:bCs/>
          <w:i w:val="0"/>
          <w:iCs w:val="0"/>
          <w:color w:val="auto"/>
          <w:kern w:val="0"/>
          <w:sz w:val="21"/>
          <w:szCs w:val="21"/>
          <w:lang w:val="en-US" w:eastAsia="zh-CN" w:bidi="ar-SA"/>
        </w:rPr>
      </w:pPr>
      <w:r>
        <w:rPr>
          <w:rFonts w:hint="default" w:ascii="宋体" w:hAnsi="宋体" w:eastAsia="宋体" w:cs="宋体"/>
          <w:b w:val="0"/>
          <w:bCs/>
          <w:i w:val="0"/>
          <w:iCs w:val="0"/>
          <w:color w:val="auto"/>
          <w:kern w:val="0"/>
          <w:sz w:val="21"/>
          <w:szCs w:val="21"/>
          <w:lang w:val="en-US" w:eastAsia="zh-CN" w:bidi="ar-SA"/>
        </w:rPr>
        <w:t>采购人逾期退还履约保证金的违约责任：采购人逾期退还履约保证金的，除应当退还履约保证金本金外，还应当每日按合同总价的3</w:t>
      </w:r>
      <w:r>
        <w:rPr>
          <w:rFonts w:hint="eastAsia" w:ascii="宋体" w:hAnsi="宋体" w:eastAsia="宋体" w:cs="宋体"/>
          <w:b w:val="0"/>
          <w:bCs/>
          <w:i w:val="0"/>
          <w:iCs w:val="0"/>
          <w:color w:val="auto"/>
          <w:kern w:val="0"/>
          <w:sz w:val="21"/>
          <w:szCs w:val="21"/>
          <w:lang w:val="en-US" w:eastAsia="zh-CN" w:bidi="ar-SA"/>
        </w:rPr>
        <w:t>%</w:t>
      </w:r>
      <w:r>
        <w:rPr>
          <w:rFonts w:hint="default" w:ascii="宋体" w:hAnsi="宋体" w:eastAsia="宋体" w:cs="宋体"/>
          <w:b w:val="0"/>
          <w:bCs/>
          <w:i w:val="0"/>
          <w:iCs w:val="0"/>
          <w:color w:val="auto"/>
          <w:kern w:val="0"/>
          <w:sz w:val="21"/>
          <w:szCs w:val="21"/>
          <w:lang w:val="en-US" w:eastAsia="zh-CN" w:bidi="ar-SA"/>
        </w:rPr>
        <w:t>向</w:t>
      </w: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偿付违约金，但因</w:t>
      </w:r>
      <w:r>
        <w:rPr>
          <w:rFonts w:hint="eastAsia" w:ascii="宋体" w:hAnsi="宋体" w:eastAsia="宋体" w:cs="宋体"/>
          <w:b w:val="0"/>
          <w:bCs/>
          <w:i w:val="0"/>
          <w:iCs w:val="0"/>
          <w:color w:val="auto"/>
          <w:kern w:val="0"/>
          <w:sz w:val="21"/>
          <w:szCs w:val="21"/>
          <w:lang w:val="en-US" w:eastAsia="zh-CN" w:bidi="ar-SA"/>
        </w:rPr>
        <w:t>成交供应商</w:t>
      </w:r>
      <w:r>
        <w:rPr>
          <w:rFonts w:hint="default" w:ascii="宋体" w:hAnsi="宋体" w:eastAsia="宋体" w:cs="宋体"/>
          <w:b w:val="0"/>
          <w:bCs/>
          <w:i w:val="0"/>
          <w:iCs w:val="0"/>
          <w:color w:val="auto"/>
          <w:kern w:val="0"/>
          <w:sz w:val="21"/>
          <w:szCs w:val="21"/>
          <w:lang w:val="en-US" w:eastAsia="zh-CN" w:bidi="ar-SA"/>
        </w:rPr>
        <w:t>自身原因导致无法及时退还的除外。</w:t>
      </w:r>
    </w:p>
    <w:p>
      <w:pPr>
        <w:pStyle w:val="8"/>
        <w:widowControl/>
        <w:numPr>
          <w:ilvl w:val="0"/>
          <w:numId w:val="24"/>
        </w:numPr>
        <w:tabs>
          <w:tab w:val="left" w:pos="540"/>
        </w:tabs>
        <w:adjustRightInd w:val="0"/>
        <w:spacing w:line="360" w:lineRule="auto"/>
        <w:outlineLvl w:val="1"/>
        <w:rPr>
          <w:rFonts w:hint="default" w:hAnsi="宋体"/>
          <w:b/>
          <w:color w:val="auto"/>
          <w:sz w:val="21"/>
        </w:rPr>
      </w:pPr>
      <w:r>
        <w:rPr>
          <w:rFonts w:hAnsi="宋体"/>
          <w:b/>
          <w:color w:val="auto"/>
          <w:sz w:val="21"/>
        </w:rPr>
        <w:t>付款方式</w:t>
      </w:r>
    </w:p>
    <w:p>
      <w:pPr>
        <w:widowControl w:val="0"/>
        <w:numPr>
          <w:ilvl w:val="0"/>
          <w:numId w:val="35"/>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rPr>
        <w:t>合同签订后7个工作日内，支付合同总价的30%</w:t>
      </w:r>
      <w:bookmarkStart w:id="19" w:name="OLE_LINK4"/>
      <w:bookmarkStart w:id="20" w:name="OLE_LINK3"/>
      <w:r>
        <w:rPr>
          <w:rFonts w:hint="eastAsia" w:ascii="宋体" w:hAnsi="宋体" w:eastAsia="宋体" w:cs="宋体"/>
          <w:color w:val="auto"/>
          <w:kern w:val="21"/>
          <w:sz w:val="21"/>
          <w:szCs w:val="21"/>
        </w:rPr>
        <w:t>。</w:t>
      </w:r>
    </w:p>
    <w:p>
      <w:pPr>
        <w:widowControl w:val="0"/>
        <w:numPr>
          <w:ilvl w:val="0"/>
          <w:numId w:val="35"/>
        </w:numPr>
        <w:autoSpaceDE w:val="0"/>
        <w:autoSpaceDN w:val="0"/>
        <w:spacing w:after="0" w:line="360" w:lineRule="auto"/>
        <w:ind w:left="0" w:firstLine="420" w:firstLineChars="200"/>
        <w:rPr>
          <w:rFonts w:hint="eastAsia" w:ascii="宋体" w:hAnsi="宋体" w:eastAsia="宋体" w:cs="宋体"/>
          <w:b w:val="0"/>
          <w:bCs/>
          <w:i w:val="0"/>
          <w:iCs w:val="0"/>
          <w:color w:val="auto"/>
          <w:sz w:val="21"/>
          <w:szCs w:val="21"/>
        </w:rPr>
      </w:pPr>
      <w:r>
        <w:rPr>
          <w:rFonts w:hint="eastAsia" w:ascii="宋体" w:hAnsi="宋体" w:eastAsia="宋体" w:cs="宋体"/>
          <w:color w:val="auto"/>
          <w:kern w:val="21"/>
          <w:sz w:val="21"/>
          <w:szCs w:val="21"/>
        </w:rPr>
        <w:t>项目整体完成后7个工作日内，</w:t>
      </w:r>
      <w:bookmarkEnd w:id="19"/>
      <w:bookmarkEnd w:id="20"/>
      <w:r>
        <w:rPr>
          <w:rFonts w:hint="eastAsia" w:ascii="宋体" w:hAnsi="宋体" w:eastAsia="宋体" w:cs="宋体"/>
          <w:color w:val="auto"/>
          <w:kern w:val="21"/>
          <w:sz w:val="21"/>
          <w:szCs w:val="21"/>
        </w:rPr>
        <w:t>支付合同总价的</w:t>
      </w:r>
      <w:r>
        <w:rPr>
          <w:rFonts w:hint="eastAsia" w:ascii="宋体" w:hAnsi="宋体" w:eastAsia="宋体" w:cs="宋体"/>
          <w:color w:val="auto"/>
          <w:kern w:val="21"/>
          <w:sz w:val="21"/>
          <w:szCs w:val="21"/>
          <w:lang w:val="en-US" w:eastAsia="zh-CN"/>
        </w:rPr>
        <w:t>50</w:t>
      </w:r>
      <w:r>
        <w:rPr>
          <w:rFonts w:hint="eastAsia" w:ascii="宋体" w:hAnsi="宋体" w:eastAsia="宋体" w:cs="宋体"/>
          <w:color w:val="auto"/>
          <w:kern w:val="21"/>
          <w:sz w:val="21"/>
          <w:szCs w:val="21"/>
        </w:rPr>
        <w:t>%。</w:t>
      </w:r>
    </w:p>
    <w:p>
      <w:pPr>
        <w:widowControl w:val="0"/>
        <w:numPr>
          <w:ilvl w:val="0"/>
          <w:numId w:val="35"/>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rPr>
        <w:t>从验收合格之日起，并将归档资料移交采购人后7个工作日内，支付合同总价的</w:t>
      </w:r>
      <w:r>
        <w:rPr>
          <w:rFonts w:hint="eastAsia" w:ascii="宋体" w:hAnsi="宋体" w:eastAsia="宋体" w:cs="宋体"/>
          <w:color w:val="auto"/>
          <w:kern w:val="21"/>
          <w:sz w:val="21"/>
          <w:szCs w:val="21"/>
          <w:lang w:val="en-US" w:eastAsia="zh-CN"/>
        </w:rPr>
        <w:t>20%。</w:t>
      </w:r>
    </w:p>
    <w:p>
      <w:pPr>
        <w:widowControl w:val="0"/>
        <w:numPr>
          <w:ilvl w:val="0"/>
          <w:numId w:val="35"/>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rPr>
        <w:t>成交供应商凭以下有效文件与采购人结算：</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（1）合同；</w:t>
      </w:r>
    </w:p>
    <w:p>
      <w:pPr>
        <w:widowControl w:val="0"/>
        <w:autoSpaceDE w:val="0"/>
        <w:autoSpaceDN w:val="0"/>
        <w:spacing w:after="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（2）成交供应商开具的正式发票；</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（3）试点工作材料总结（加盖采购人公章）；</w:t>
      </w:r>
    </w:p>
    <w:p>
      <w:pPr>
        <w:widowControl w:val="0"/>
        <w:autoSpaceDE w:val="0"/>
        <w:autoSpaceDN w:val="0"/>
        <w:spacing w:after="0" w:line="360" w:lineRule="auto"/>
        <w:ind w:firstLine="420" w:firstLineChars="200"/>
        <w:rPr>
          <w:rFonts w:ascii="宋体" w:hAnsi="宋体" w:eastAsia="宋体" w:cs="宋体"/>
          <w:b/>
          <w:color w:val="auto"/>
        </w:rPr>
      </w:pPr>
      <w:r>
        <w:rPr>
          <w:rFonts w:hint="eastAsia" w:ascii="宋体" w:hAnsi="宋体" w:eastAsia="宋体" w:cs="宋体"/>
          <w:color w:val="auto"/>
          <w:sz w:val="21"/>
          <w:szCs w:val="21"/>
        </w:rPr>
        <w:t>（4）成交通知书。</w:t>
      </w:r>
      <w:r>
        <w:rPr>
          <w:rFonts w:hint="eastAsia" w:ascii="宋体" w:hAnsi="宋体" w:eastAsia="宋体" w:cs="宋体"/>
          <w:b/>
          <w:color w:val="auto"/>
          <w:sz w:val="21"/>
          <w:szCs w:val="21"/>
        </w:rPr>
        <w:tab/>
      </w:r>
    </w:p>
    <w:p>
      <w:pPr>
        <w:widowControl w:val="0"/>
        <w:numPr>
          <w:ilvl w:val="0"/>
          <w:numId w:val="35"/>
        </w:numPr>
        <w:autoSpaceDE w:val="0"/>
        <w:autoSpaceDN w:val="0"/>
        <w:spacing w:after="0" w:line="360" w:lineRule="auto"/>
        <w:ind w:left="0" w:firstLine="420" w:firstLineChars="200"/>
        <w:rPr>
          <w:rFonts w:hint="eastAsia" w:ascii="宋体" w:hAnsi="宋体" w:eastAsia="宋体" w:cs="宋体"/>
          <w:color w:val="auto"/>
          <w:kern w:val="21"/>
          <w:sz w:val="21"/>
          <w:szCs w:val="21"/>
          <w:lang w:val="en-US" w:eastAsia="zh-CN"/>
        </w:rPr>
      </w:pPr>
      <w:r>
        <w:rPr>
          <w:rFonts w:hint="eastAsia" w:ascii="宋体" w:hAnsi="宋体" w:eastAsia="宋体" w:cs="宋体"/>
          <w:color w:val="auto"/>
          <w:kern w:val="21"/>
          <w:sz w:val="21"/>
          <w:szCs w:val="21"/>
          <w:lang w:val="en-US" w:eastAsia="zh-CN"/>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r>
        <w:rPr>
          <w:rFonts w:hint="eastAsia" w:ascii="宋体" w:hAnsi="宋体" w:eastAsia="宋体" w:cs="宋体"/>
          <w:color w:val="auto"/>
          <w:kern w:val="21"/>
          <w:sz w:val="21"/>
          <w:szCs w:val="21"/>
          <w:lang w:val="en-US" w:eastAsia="zh-CN"/>
        </w:rPr>
        <w:br w:type="page"/>
      </w:r>
      <w:bookmarkEnd w:id="14"/>
      <w:bookmarkEnd w:id="15"/>
      <w:bookmarkEnd w:id="16"/>
      <w:bookmarkEnd w:id="17"/>
    </w:p>
    <w:p>
      <w:pPr>
        <w:widowControl w:val="0"/>
        <w:autoSpaceDE w:val="0"/>
        <w:autoSpaceDN w:val="0"/>
        <w:spacing w:beforeLines="50" w:afterLines="50" w:line="360" w:lineRule="auto"/>
        <w:jc w:val="center"/>
        <w:outlineLvl w:val="0"/>
        <w:rPr>
          <w:b/>
          <w:color w:val="auto"/>
          <w:sz w:val="28"/>
          <w:szCs w:val="28"/>
        </w:rPr>
      </w:pPr>
      <w:bookmarkStart w:id="21" w:name="_Toc494203631"/>
      <w:bookmarkStart w:id="22" w:name="_Toc16372"/>
      <w:r>
        <w:rPr>
          <w:rFonts w:hint="eastAsia" w:ascii="Times New Roman" w:hAnsi="Times New Roman" w:eastAsia="宋体" w:cs="宋体"/>
          <w:b/>
          <w:color w:val="auto"/>
          <w:sz w:val="28"/>
          <w:szCs w:val="28"/>
        </w:rPr>
        <w:t>第五章</w:t>
      </w:r>
      <w:r>
        <w:rPr>
          <w:rFonts w:ascii="Times New Roman" w:hAnsi="Times New Roman" w:eastAsia="宋体" w:cs="Times New Roman"/>
          <w:b/>
          <w:color w:val="auto"/>
          <w:sz w:val="28"/>
          <w:szCs w:val="28"/>
        </w:rPr>
        <w:t xml:space="preserve">  </w:t>
      </w:r>
      <w:r>
        <w:rPr>
          <w:rFonts w:hint="eastAsia" w:ascii="Times New Roman" w:hAnsi="Times New Roman" w:eastAsia="宋体" w:cs="宋体"/>
          <w:b/>
          <w:color w:val="auto"/>
          <w:sz w:val="28"/>
          <w:szCs w:val="28"/>
        </w:rPr>
        <w:t>合同文本</w:t>
      </w:r>
      <w:bookmarkEnd w:id="21"/>
      <w:bookmarkEnd w:id="22"/>
    </w:p>
    <w:p>
      <w:pPr>
        <w:widowControl w:val="0"/>
        <w:tabs>
          <w:tab w:val="left" w:pos="720"/>
        </w:tabs>
        <w:autoSpaceDE w:val="0"/>
        <w:autoSpaceDN w:val="0"/>
        <w:spacing w:after="0" w:line="360" w:lineRule="auto"/>
        <w:jc w:val="center"/>
        <w:rPr>
          <w:rFonts w:ascii="宋体" w:hAnsi="宋体" w:eastAsia="宋体" w:cs="宋体"/>
          <w:b/>
          <w:color w:val="auto"/>
          <w:sz w:val="24"/>
          <w:szCs w:val="21"/>
        </w:rPr>
      </w:pPr>
      <w:r>
        <w:rPr>
          <w:rFonts w:hint="eastAsia" w:ascii="宋体" w:hAnsi="宋体" w:eastAsia="宋体" w:cs="宋体"/>
          <w:b/>
          <w:color w:val="auto"/>
          <w:sz w:val="24"/>
          <w:szCs w:val="21"/>
        </w:rPr>
        <w:t>合同通用条款</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甲    方</w:t>
      </w:r>
      <w:r>
        <w:rPr>
          <w:rFonts w:hint="eastAsia" w:ascii="宋体" w:hAnsi="宋体" w:eastAsia="宋体" w:cs="宋体"/>
          <w:color w:val="auto"/>
          <w:sz w:val="21"/>
          <w:szCs w:val="21"/>
        </w:rPr>
        <w:t>（采购人）</w:t>
      </w:r>
      <w:r>
        <w:rPr>
          <w:rFonts w:hint="eastAsia" w:ascii="宋体" w:hAnsi="宋体" w:eastAsia="宋体" w:cs="宋体"/>
          <w:b/>
          <w:color w:val="auto"/>
          <w:sz w:val="21"/>
          <w:szCs w:val="21"/>
        </w:rPr>
        <w:t>：</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电    话：           　   传  真：           住  所：</w:t>
      </w:r>
    </w:p>
    <w:p>
      <w:pPr>
        <w:widowControl w:val="0"/>
        <w:autoSpaceDE w:val="0"/>
        <w:autoSpaceDN w:val="0"/>
        <w:spacing w:after="0" w:line="360" w:lineRule="auto"/>
        <w:rPr>
          <w:rFonts w:ascii="宋体" w:hAnsi="宋体" w:eastAsia="宋体" w:cs="宋体"/>
          <w:b/>
          <w:color w:val="auto"/>
        </w:rPr>
      </w:pP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b/>
          <w:color w:val="auto"/>
          <w:sz w:val="21"/>
          <w:szCs w:val="21"/>
        </w:rPr>
        <w:t>乙    方</w:t>
      </w:r>
      <w:r>
        <w:rPr>
          <w:rFonts w:hint="eastAsia" w:ascii="宋体" w:hAnsi="宋体" w:eastAsia="宋体" w:cs="宋体"/>
          <w:color w:val="auto"/>
          <w:sz w:val="21"/>
          <w:szCs w:val="21"/>
        </w:rPr>
        <w:t>（成交供应商）</w:t>
      </w:r>
      <w:r>
        <w:rPr>
          <w:rFonts w:hint="eastAsia" w:ascii="宋体" w:hAnsi="宋体" w:eastAsia="宋体" w:cs="宋体"/>
          <w:b/>
          <w:color w:val="auto"/>
          <w:sz w:val="21"/>
          <w:szCs w:val="21"/>
        </w:rPr>
        <w:t>：</w:t>
      </w:r>
      <w:r>
        <w:rPr>
          <w:rFonts w:hint="eastAsia" w:ascii="宋体" w:hAnsi="宋体" w:eastAsia="宋体" w:cs="宋体"/>
          <w:b/>
          <w:color w:val="auto"/>
          <w:sz w:val="21"/>
          <w:szCs w:val="21"/>
        </w:rPr>
        <w:br w:type="textWrapping"/>
      </w:r>
      <w:r>
        <w:rPr>
          <w:rFonts w:hint="eastAsia" w:ascii="宋体" w:hAnsi="宋体" w:eastAsia="宋体" w:cs="宋体"/>
          <w:color w:val="auto"/>
          <w:sz w:val="21"/>
          <w:szCs w:val="21"/>
        </w:rPr>
        <w:t xml:space="preserve">电    话：                传  真：           住  所：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项目名称：白云区消防救援大队大源村消防安全综合治理项目        项目编号：GZGX20GZ00ZC-33</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根据</w:t>
      </w:r>
      <w:r>
        <w:rPr>
          <w:rFonts w:hint="eastAsia" w:ascii="宋体" w:hAnsi="宋体" w:eastAsia="宋体" w:cs="宋体"/>
          <w:color w:val="auto"/>
          <w:sz w:val="21"/>
          <w:szCs w:val="21"/>
          <w:u w:val="single"/>
        </w:rPr>
        <w:t xml:space="preserve">  白云区消防救援大队大源村消防安全综合治理项目  </w:t>
      </w:r>
      <w:r>
        <w:rPr>
          <w:rFonts w:hint="eastAsia" w:ascii="宋体" w:hAnsi="宋体" w:eastAsia="宋体" w:cs="宋体"/>
          <w:color w:val="auto"/>
          <w:sz w:val="21"/>
          <w:szCs w:val="21"/>
        </w:rPr>
        <w:t>（项目编号：GZGX20GZ00ZC-33）的采购结果，按照《中华人民共和国政府采购法》及其实施条例、《中华人民共和国合同法》的规定，</w:t>
      </w:r>
      <w:r>
        <w:rPr>
          <w:rFonts w:hint="eastAsia" w:ascii="宋体" w:hAnsi="宋体" w:eastAsia="宋体" w:cs="宋体"/>
          <w:color w:val="auto"/>
          <w:kern w:val="28"/>
          <w:sz w:val="21"/>
          <w:szCs w:val="21"/>
        </w:rPr>
        <w:t>经双方协商，</w:t>
      </w:r>
      <w:r>
        <w:rPr>
          <w:rFonts w:hint="eastAsia" w:ascii="宋体" w:hAnsi="宋体" w:eastAsia="宋体" w:cs="宋体"/>
          <w:color w:val="auto"/>
          <w:sz w:val="21"/>
          <w:szCs w:val="21"/>
        </w:rPr>
        <w:t>本着平等互利和诚实信用的原则，</w:t>
      </w:r>
      <w:r>
        <w:rPr>
          <w:rFonts w:hint="eastAsia" w:ascii="宋体" w:hAnsi="宋体" w:eastAsia="宋体" w:cs="宋体"/>
          <w:color w:val="auto"/>
          <w:kern w:val="28"/>
          <w:sz w:val="21"/>
          <w:szCs w:val="21"/>
        </w:rPr>
        <w:t>一致同意签订本合同如下</w:t>
      </w:r>
      <w:r>
        <w:rPr>
          <w:rFonts w:hint="eastAsia" w:ascii="宋体" w:hAnsi="宋体" w:eastAsia="宋体" w:cs="宋体"/>
          <w:color w:val="auto"/>
          <w:sz w:val="21"/>
          <w:szCs w:val="21"/>
        </w:rPr>
        <w:t>。</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r>
        <w:rPr>
          <w:rFonts w:hint="eastAsia" w:ascii="宋体" w:hAnsi="宋体" w:eastAsia="宋体" w:cs="宋体"/>
          <w:b/>
          <w:color w:val="auto"/>
          <w:sz w:val="21"/>
          <w:szCs w:val="21"/>
        </w:rPr>
        <w:t>采购标的、数量</w:t>
      </w:r>
    </w:p>
    <w:tbl>
      <w:tblPr>
        <w:tblStyle w:val="21"/>
        <w:tblpPr w:leftFromText="180" w:rightFromText="180" w:vertAnchor="text" w:horzAnchor="page" w:tblpX="1098" w:tblpY="410"/>
        <w:tblOverlap w:val="never"/>
        <w:tblW w:w="9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4163"/>
        <w:gridCol w:w="1497"/>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bookmarkStart w:id="23" w:name="_Toc435540759"/>
            <w:r>
              <w:rPr>
                <w:rFonts w:hint="eastAsia" w:ascii="宋体" w:hAnsi="宋体" w:eastAsia="宋体" w:cs="宋体"/>
                <w:bCs/>
                <w:color w:val="auto"/>
                <w:kern w:val="2"/>
                <w:sz w:val="21"/>
                <w:szCs w:val="21"/>
              </w:rPr>
              <w:t>序号</w:t>
            </w:r>
          </w:p>
        </w:tc>
        <w:tc>
          <w:tcPr>
            <w:tcW w:w="41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采购标的</w:t>
            </w:r>
          </w:p>
        </w:tc>
        <w:tc>
          <w:tcPr>
            <w:tcW w:w="14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数量</w:t>
            </w:r>
          </w:p>
        </w:tc>
        <w:tc>
          <w:tcPr>
            <w:tcW w:w="3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1</w:t>
            </w:r>
          </w:p>
        </w:tc>
        <w:tc>
          <w:tcPr>
            <w:tcW w:w="41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大源村开展城中村消防安全治理试点工作</w:t>
            </w:r>
          </w:p>
        </w:tc>
        <w:tc>
          <w:tcPr>
            <w:tcW w:w="14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1项</w:t>
            </w:r>
          </w:p>
        </w:tc>
        <w:tc>
          <w:tcPr>
            <w:tcW w:w="3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tabs>
                <w:tab w:val="left" w:pos="426"/>
              </w:tabs>
              <w:autoSpaceDE w:val="0"/>
              <w:autoSpaceDN w:val="0"/>
              <w:spacing w:beforeLines="75" w:after="0" w:line="360" w:lineRule="auto"/>
              <w:jc w:val="center"/>
              <w:outlineLvl w:val="2"/>
              <w:rPr>
                <w:rFonts w:ascii="宋体" w:hAnsi="宋体" w:eastAsia="宋体" w:cs="宋体"/>
                <w:bCs/>
                <w:color w:val="auto"/>
                <w:kern w:val="2"/>
                <w:sz w:val="21"/>
                <w:szCs w:val="21"/>
              </w:rPr>
            </w:pPr>
            <w:r>
              <w:rPr>
                <w:rFonts w:hint="eastAsia" w:ascii="宋体" w:hAnsi="宋体" w:eastAsia="宋体" w:cs="宋体"/>
                <w:bCs/>
                <w:color w:val="auto"/>
                <w:kern w:val="2"/>
                <w:sz w:val="21"/>
                <w:szCs w:val="21"/>
              </w:rPr>
              <w:t>自合同签订之日起60日历天内</w:t>
            </w:r>
          </w:p>
        </w:tc>
      </w:tr>
    </w:tbl>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r>
        <w:rPr>
          <w:rFonts w:hint="eastAsia" w:ascii="宋体" w:hAnsi="宋体" w:eastAsia="宋体" w:cs="宋体"/>
          <w:b/>
          <w:color w:val="auto"/>
          <w:sz w:val="21"/>
          <w:szCs w:val="21"/>
        </w:rPr>
        <w:t>合同金额</w:t>
      </w:r>
      <w:bookmarkEnd w:id="23"/>
    </w:p>
    <w:p>
      <w:pPr>
        <w:pStyle w:val="8"/>
        <w:widowControl/>
        <w:spacing w:line="360" w:lineRule="auto"/>
        <w:ind w:firstLine="420" w:firstLineChars="200"/>
        <w:rPr>
          <w:rFonts w:hint="default" w:hAnsi="宋体"/>
          <w:color w:val="auto"/>
          <w:sz w:val="21"/>
        </w:rPr>
      </w:pPr>
      <w:r>
        <w:rPr>
          <w:rFonts w:hAnsi="宋体"/>
          <w:color w:val="auto"/>
          <w:sz w:val="21"/>
        </w:rPr>
        <w:t>合同金额为（大写）：_________________元（￥_______________元）。</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r>
        <w:rPr>
          <w:rFonts w:hint="eastAsia" w:ascii="宋体" w:hAnsi="宋体" w:eastAsia="宋体" w:cs="宋体"/>
          <w:b/>
          <w:color w:val="auto"/>
          <w:sz w:val="21"/>
          <w:szCs w:val="21"/>
        </w:rPr>
        <w:t>项目基本概况</w:t>
      </w:r>
    </w:p>
    <w:p>
      <w:pPr>
        <w:widowControl w:val="0"/>
        <w:tabs>
          <w:tab w:val="left" w:pos="426"/>
        </w:tabs>
        <w:autoSpaceDE w:val="0"/>
        <w:autoSpaceDN w:val="0"/>
        <w:spacing w:after="0" w:line="360" w:lineRule="auto"/>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大源村位于广州市白云区沙太公路与南湖交接处，全村25平方公里，共有23个经济合作社，约有人口20万人（2500户），房屋约有7000栋、80000套，在住人口约有120000人，单位约有6000，出租屋、三小场所、物流仓储单位、火灾形势严峻。</w:t>
      </w:r>
    </w:p>
    <w:p>
      <w:pPr>
        <w:widowControl w:val="0"/>
        <w:tabs>
          <w:tab w:val="left" w:pos="426"/>
        </w:tabs>
        <w:autoSpaceDE w:val="0"/>
        <w:autoSpaceDN w:val="0"/>
        <w:spacing w:after="0" w:line="360" w:lineRule="auto"/>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根据工作要求，需要在白云区太和镇大源村开展城中村消防安全治理试点工作，主要开展“防消一体化”机制建设、重点场所评估检测、物流仓储消防安全标准管理制度、社区消防器材配置、试点会议布置等工作，预算金额为204万元。</w:t>
      </w:r>
    </w:p>
    <w:p>
      <w:pPr>
        <w:widowControl w:val="0"/>
        <w:tabs>
          <w:tab w:val="left" w:pos="426"/>
        </w:tabs>
        <w:autoSpaceDE w:val="0"/>
        <w:autoSpaceDN w:val="0"/>
        <w:spacing w:after="0" w:line="360" w:lineRule="auto"/>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项目内容不限于消防安全网格化排查及重点场所评估检测，还包括开展“防消一体化”调度指挥体系及微型消防站调度指挥机制建设、物流仓储消防安全标准管理调研、社区消防器材配置、试点现场会布置等工作。</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sz w:val="21"/>
          <w:szCs w:val="21"/>
        </w:rPr>
      </w:pPr>
      <w:r>
        <w:rPr>
          <w:rFonts w:hint="eastAsia" w:ascii="宋体" w:hAnsi="宋体" w:eastAsia="宋体" w:cs="宋体"/>
          <w:b/>
          <w:color w:val="auto"/>
          <w:sz w:val="21"/>
          <w:szCs w:val="21"/>
        </w:rPr>
        <w:t>服务要求</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“防消一体化”调度指挥体系及微型消防站调度指挥机制建设</w:t>
      </w:r>
    </w:p>
    <w:p>
      <w:pPr>
        <w:pStyle w:val="8"/>
        <w:widowControl/>
        <w:tabs>
          <w:tab w:val="left" w:pos="540"/>
        </w:tabs>
        <w:adjustRightInd w:val="0"/>
        <w:spacing w:line="360" w:lineRule="auto"/>
        <w:ind w:firstLine="420" w:firstLineChars="200"/>
        <w:rPr>
          <w:rFonts w:hint="default" w:hAnsi="宋体"/>
          <w:bCs/>
          <w:color w:val="auto"/>
          <w:sz w:val="21"/>
        </w:rPr>
      </w:pPr>
      <w:r>
        <w:rPr>
          <w:rFonts w:hint="default" w:hAnsi="宋体"/>
          <w:bCs/>
          <w:color w:val="auto"/>
          <w:sz w:val="21"/>
        </w:rPr>
        <w:t>基于大源村区域的技术专家调研和专业技术人员深入本区域基层调查的基础上，建立“防消一体化”调度指挥体系及微型消防站调度指挥机制，满足“防消一体化”调度指挥体系及微型消防站调度指挥机制建设的需要。</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1.从大源村实际出发，整合综治平台、智能充电桩平台，充分发挥现有村委微型消防站点、100多名网格员的作用，建立集隐患上报、“三色”管理、“二维码”管理等统一指挥机制；</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2.建立重点单位信息采集和单位录入机制，重点单位管理人对本单位的消防情况进行收集并进行录入，结果录入后，消防主管单位审核，形成消防日常数据的闭环管理；</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3.建立“二维码”信息管理指挥机制，在重点单位明显位置张贴消防信息“二维码”，对重点单位的消防安全情况进行核查及管理，评价结论可实时查询，提高数据的真实性和透明度，接受群众和消防部门检查；</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4.建立群防群治管理指挥机制，群众或者重点单位管理者发现火灾，可通过多种渠道报警，或者拨打“119”火警电话报警并报送重点单位编号，消防部门可通过指挥平台信息迅速查询建筑物基本情况、建筑物精确地理信息、单位消防安全管理人员联系方式、建筑物主要危险物、建筑物主要消防设施等情况，有效提高火灾救援的针对性和缩短到达火场时间；</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5.建立微型消防站调度指挥机制，当发生火灾，消防部门可以通过消防指挥机制调度该社区及附近区域的微型消防站兼职消防人员迅速到达现场，有利于扑灭初起火灾，保护人民的生命财产安全。</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普及、推广“防消一体化”调度指挥体系及微型消防站调度指挥机制建设在消防安全管理中发挥着重要作用。基于大源村区域的技术专家调研和专业技术人员深入本区域基层调查，建立为本区域“量身定做”的消防指挥机制，采用“感、传、知、用”等技术手段，综合利用现场采集、数据技术，通过互联网、无线通信网、专网等通信网络，对消防设施、器材、人员等状态进行智能化感知、识别、定位与跟踪，针对本区域微型消防站的值班情况，建筑消防通道、安全出口规范情况，重点部位、危险区域现场视频进行查看并与火灾报警监控系统进行联动，时刻掌握重点区域的消防情况，彻底解决居住出租房、物流仓储的防火监督管理问题，提高消防管理的技术科技手段。</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消防安全网格化排查</w:t>
      </w:r>
    </w:p>
    <w:p>
      <w:pPr>
        <w:pStyle w:val="8"/>
        <w:widowControl/>
        <w:tabs>
          <w:tab w:val="left" w:pos="540"/>
        </w:tabs>
        <w:adjustRightInd w:val="0"/>
        <w:spacing w:line="360" w:lineRule="auto"/>
        <w:ind w:left="420"/>
        <w:rPr>
          <w:rFonts w:hint="default" w:hAnsi="宋体"/>
          <w:bCs/>
          <w:color w:val="auto"/>
          <w:sz w:val="21"/>
        </w:rPr>
      </w:pPr>
      <w:r>
        <w:rPr>
          <w:rFonts w:hint="default" w:hAnsi="宋体"/>
          <w:bCs/>
          <w:color w:val="auto"/>
          <w:sz w:val="21"/>
        </w:rPr>
        <w:t>以大源村23个经济合作社为单元，划分若干消防安全管理网格，对网格内的单位、场所、居（村）民楼院、村组实施动态管理，构建“全覆盖、无盲区”的消防管理网络。</w:t>
      </w:r>
    </w:p>
    <w:p>
      <w:pPr>
        <w:pStyle w:val="8"/>
        <w:widowControl/>
        <w:numPr>
          <w:ilvl w:val="0"/>
          <w:numId w:val="38"/>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负责对网格内的消防安全重点单位加强监管，建立消防安全“户籍化”管理档案，包括但不限于大源村内的出租屋、物流仓储企业、“三小”场所；</w:t>
      </w:r>
    </w:p>
    <w:p>
      <w:pPr>
        <w:pStyle w:val="8"/>
        <w:widowControl/>
        <w:numPr>
          <w:ilvl w:val="0"/>
          <w:numId w:val="38"/>
        </w:numPr>
        <w:tabs>
          <w:tab w:val="left" w:pos="540"/>
        </w:tabs>
        <w:adjustRightInd w:val="0"/>
        <w:spacing w:line="360" w:lineRule="auto"/>
        <w:ind w:left="0" w:firstLine="425"/>
        <w:rPr>
          <w:rFonts w:hint="default" w:hAnsi="宋体"/>
          <w:bCs/>
          <w:color w:val="auto"/>
          <w:sz w:val="21"/>
        </w:rPr>
      </w:pPr>
      <w:r>
        <w:rPr>
          <w:rFonts w:hAnsi="宋体"/>
          <w:bCs/>
          <w:color w:val="auto"/>
          <w:sz w:val="21"/>
        </w:rPr>
        <w:t>实现出租屋等重点单位“三色”管理，评价结果可查可视可核；</w:t>
      </w:r>
    </w:p>
    <w:p>
      <w:pPr>
        <w:pStyle w:val="8"/>
        <w:widowControl/>
        <w:numPr>
          <w:ilvl w:val="0"/>
          <w:numId w:val="38"/>
        </w:numPr>
        <w:tabs>
          <w:tab w:val="left" w:pos="540"/>
        </w:tabs>
        <w:adjustRightInd w:val="0"/>
        <w:spacing w:line="360" w:lineRule="auto"/>
        <w:ind w:left="0" w:firstLine="425"/>
        <w:rPr>
          <w:rFonts w:hint="default" w:hAnsi="宋体"/>
          <w:bCs/>
          <w:color w:val="auto"/>
          <w:sz w:val="21"/>
        </w:rPr>
      </w:pPr>
      <w:r>
        <w:rPr>
          <w:rFonts w:hAnsi="宋体"/>
          <w:bCs/>
          <w:color w:val="auto"/>
          <w:sz w:val="21"/>
        </w:rPr>
        <w:t>负责消防巡防队员和保安人员的消防业务培训，充分发挥基层治安防范力量在消防安全网格化管理中的作用，提高防火检查、消防宣传和组织扑救初起火灾的能力。</w:t>
      </w:r>
    </w:p>
    <w:p>
      <w:pPr>
        <w:pStyle w:val="8"/>
        <w:widowControl/>
        <w:numPr>
          <w:ilvl w:val="0"/>
          <w:numId w:val="38"/>
        </w:numPr>
        <w:tabs>
          <w:tab w:val="left" w:pos="540"/>
        </w:tabs>
        <w:adjustRightInd w:val="0"/>
        <w:spacing w:line="360" w:lineRule="auto"/>
        <w:ind w:left="0" w:firstLine="425"/>
        <w:rPr>
          <w:rFonts w:hint="default" w:hAnsi="宋体"/>
          <w:bCs/>
          <w:color w:val="auto"/>
          <w:sz w:val="21"/>
        </w:rPr>
      </w:pPr>
      <w:r>
        <w:rPr>
          <w:rFonts w:hAnsi="宋体"/>
          <w:bCs/>
          <w:color w:val="auto"/>
          <w:sz w:val="21"/>
        </w:rPr>
        <w:t>负责在大源村23个经济合作社设置消防宣传橱窗（标牌），开展有针对性的消防宣传教育，广泛普及防火灭火和逃生自救常识；协助有条件的合作社建设消防教育体验活动室，定期组织居民群众参加消防教育和灭火逃生体验。</w:t>
      </w:r>
    </w:p>
    <w:p>
      <w:pPr>
        <w:pStyle w:val="8"/>
        <w:widowControl/>
        <w:numPr>
          <w:ilvl w:val="0"/>
          <w:numId w:val="38"/>
        </w:numPr>
        <w:tabs>
          <w:tab w:val="left" w:pos="540"/>
        </w:tabs>
        <w:adjustRightInd w:val="0"/>
        <w:spacing w:line="360" w:lineRule="auto"/>
        <w:ind w:left="0" w:firstLine="425"/>
        <w:rPr>
          <w:rFonts w:hint="default" w:hAnsi="宋体"/>
          <w:bCs/>
          <w:color w:val="auto"/>
          <w:sz w:val="21"/>
        </w:rPr>
      </w:pPr>
      <w:r>
        <w:rPr>
          <w:rFonts w:hAnsi="宋体"/>
          <w:bCs/>
          <w:color w:val="auto"/>
          <w:sz w:val="21"/>
        </w:rPr>
        <w:t>负责针对每栋建筑物设置二维码，扫码可得该栋建筑物的基本情况及消防安全情况，让消防安全网格化工作可视化、群众化。</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清晰辖区内重点防火重点单位基本信息和消防设施，对消防违法行为及时进行处理，辖区内重点单位基本进行消防宣传教育、培训工作，有效的向辖区群众宣传消防法律法规知识和消防常识，并接受群众咨询。实施消防管理网格化后，辖区居民的防火意识及扑救初期火灾的能力大大提高，辖区范围内发生的火情大部分能在消防车赶到前被居民自行扑灭，让“网格化”管理模式起到了很好的基础屏障作用，收到良好的社会效益。</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重点场所评估检测</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大源村主要重点场所包括出租屋、物流仓储企业、“三小”场所。</w:t>
      </w:r>
    </w:p>
    <w:p>
      <w:pPr>
        <w:pStyle w:val="8"/>
        <w:widowControl/>
        <w:numPr>
          <w:ilvl w:val="0"/>
          <w:numId w:val="3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出租屋，大源村在册登记出租屋约有2100栋、33000套，数量庞大，针对此类重点场所，需要评估检测单位逐栋走访评估检测，评估检测重点包括以下几方面内容：平面布置、安全疏散、消防设施和灭火器材、火灾危险源控制、消防安全管理和宣传教育培训等内容。</w:t>
      </w:r>
    </w:p>
    <w:p>
      <w:pPr>
        <w:pStyle w:val="8"/>
        <w:widowControl/>
        <w:numPr>
          <w:ilvl w:val="0"/>
          <w:numId w:val="3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物流仓储企业，大源村存在数量繁多的物流仓储企业，各企业消防安全状况参差不齐，需要评估检测单位到每家企业深入进行评估检测，评估检测主要针对以下几方面内容：消防安全职责、建筑防火及安全疏散、消防设施器材、消防控制室、用火用电、防火检查和巡查、火灾事故应急处置准备工作、消防宣传教育培训等内容。</w:t>
      </w:r>
    </w:p>
    <w:p>
      <w:pPr>
        <w:pStyle w:val="8"/>
        <w:widowControl/>
        <w:numPr>
          <w:ilvl w:val="0"/>
          <w:numId w:val="3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三小”场所，此类场所数量众多，分散且隐蔽，消防安全隐患不可小视，需要评估检测单位深入城中村中深入走访，评估检测主要包括以下几方面内容：建筑防火及安全疏散、消防设施和灭火器材、火灾危险源控制、日常消防管理、消防宣传教育培训。</w:t>
      </w:r>
    </w:p>
    <w:p>
      <w:pPr>
        <w:pStyle w:val="8"/>
        <w:widowControl/>
        <w:numPr>
          <w:ilvl w:val="0"/>
          <w:numId w:val="39"/>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评估检测工作成果：对采购人委托区域内的消防设施设备按照现行消防法规和相关技术标准进行全面检测后对存在隐患提供整改合理化建议，方案如下：（1）对存在安全隐患的消防设施设备、存在故障的设施设备进行单位、楼宇建档造册、编号、拍照、登记、汇编提交采购人；（2）提交全面准确严谨的检测报告给采购人；（3）协助制定基本概况和消防安全重点部位情况；（4）协助制定消防组织机构和各级消防安全责任人架构图；（5）协助制定消防安全责任人、管理人职责和各类消防安全管理制度；（6）协助制定消防设施、灭火器材配置情况；（7）协助制定微型消防站建设标准和装备配备标准；（8）协助制定灭火和应急疏散预案示意图；（9）协助制定演练方案。</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实现重点场所消防系统的全面评估检测，摸清出租屋、物流仓储企业、“三小”场所的消防具体情况，确保消防系统在实施过程中和建筑营业中严格按有关规程规范实施的保证措施，能有效的确保建筑物的消防系统正常运行，预防火灾、减少火灾损失、减少人员伤亡。根据消防法规，进一步规范消防设施维护保养检测，保障在用消防设施完好有效，依法开展消防设施检测评估。预防火灾的发生，保障公民人生和财产安全，遵照“预防为主，防消结合”的消防工作方针，依照国家和地方有关消防法律法规和技术规范，采用科学客观检测手段进行消防安全检测工作，发现被检测单位存在的消防安全隐患，督促被检测单位及时采取措施整改。对消防系统进行检测，发现消防设备的故障隐患，以达到将故障消灭在萌芽状态中，也是防范火灾的最好手段，以达到消防系统与建筑实际相结合的目的。让检测评估工作通过检测各类消防设施的功能是否处于最佳工作状态，保证在发生意外状况时能立即发挥其作用，将人员及财产损失降至最低。</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物流仓储消防安全标准化管理调研及城中村消防安全综合治理调研、制度建设调研，方案编写</w:t>
      </w:r>
    </w:p>
    <w:p>
      <w:pPr>
        <w:pStyle w:val="8"/>
        <w:widowControl/>
        <w:numPr>
          <w:ilvl w:val="0"/>
          <w:numId w:val="40"/>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大源村存在数量繁多的物流仓储企业，物流仓储的消防安全直接影响了整个区域的安全与发展，为此建立物流仓储消防安全标准化管理也是当前迫切的任务。</w:t>
      </w:r>
    </w:p>
    <w:p>
      <w:pPr>
        <w:pStyle w:val="8"/>
        <w:widowControl/>
        <w:numPr>
          <w:ilvl w:val="0"/>
          <w:numId w:val="41"/>
        </w:numPr>
        <w:tabs>
          <w:tab w:val="left" w:pos="540"/>
        </w:tabs>
        <w:adjustRightInd w:val="0"/>
        <w:spacing w:line="360" w:lineRule="auto"/>
        <w:ind w:left="0" w:firstLine="425"/>
        <w:rPr>
          <w:rFonts w:hint="default" w:hAnsi="宋体"/>
          <w:bCs/>
          <w:color w:val="auto"/>
          <w:sz w:val="21"/>
        </w:rPr>
      </w:pPr>
      <w:r>
        <w:rPr>
          <w:rFonts w:hAnsi="宋体"/>
          <w:bCs/>
          <w:color w:val="auto"/>
          <w:sz w:val="21"/>
        </w:rPr>
        <w:t>对物流仓储进行深入的消防安全标准化管理调研；</w:t>
      </w:r>
    </w:p>
    <w:p>
      <w:pPr>
        <w:pStyle w:val="8"/>
        <w:widowControl/>
        <w:numPr>
          <w:ilvl w:val="0"/>
          <w:numId w:val="41"/>
        </w:numPr>
        <w:tabs>
          <w:tab w:val="left" w:pos="540"/>
        </w:tabs>
        <w:adjustRightInd w:val="0"/>
        <w:spacing w:line="360" w:lineRule="auto"/>
        <w:ind w:left="0" w:firstLine="425"/>
        <w:rPr>
          <w:rFonts w:hint="default" w:hAnsi="宋体"/>
          <w:bCs/>
          <w:color w:val="auto"/>
          <w:sz w:val="21"/>
        </w:rPr>
      </w:pPr>
      <w:r>
        <w:rPr>
          <w:rFonts w:hAnsi="宋体"/>
          <w:bCs/>
          <w:color w:val="auto"/>
          <w:sz w:val="21"/>
        </w:rPr>
        <w:t>对城中村消防安全综合治理调研；</w:t>
      </w:r>
    </w:p>
    <w:p>
      <w:pPr>
        <w:pStyle w:val="8"/>
        <w:widowControl/>
        <w:numPr>
          <w:ilvl w:val="0"/>
          <w:numId w:val="41"/>
        </w:numPr>
        <w:tabs>
          <w:tab w:val="left" w:pos="540"/>
        </w:tabs>
        <w:adjustRightInd w:val="0"/>
        <w:spacing w:line="360" w:lineRule="auto"/>
        <w:ind w:left="0" w:firstLine="425"/>
        <w:rPr>
          <w:rFonts w:hint="default" w:hAnsi="宋体"/>
          <w:bCs/>
          <w:color w:val="auto"/>
          <w:sz w:val="21"/>
        </w:rPr>
      </w:pPr>
      <w:r>
        <w:rPr>
          <w:rFonts w:hAnsi="宋体"/>
          <w:bCs/>
          <w:color w:val="auto"/>
          <w:sz w:val="21"/>
        </w:rPr>
        <w:t>针对此区域物流仓储企业和城中村的特点，进行消防安全标准化制度建设；</w:t>
      </w:r>
    </w:p>
    <w:p>
      <w:pPr>
        <w:pStyle w:val="8"/>
        <w:widowControl/>
        <w:numPr>
          <w:ilvl w:val="0"/>
          <w:numId w:val="41"/>
        </w:numPr>
        <w:tabs>
          <w:tab w:val="left" w:pos="540"/>
        </w:tabs>
        <w:adjustRightInd w:val="0"/>
        <w:spacing w:line="360" w:lineRule="auto"/>
        <w:ind w:left="0" w:firstLine="425"/>
        <w:rPr>
          <w:rFonts w:hint="default" w:hAnsi="宋体"/>
          <w:bCs/>
          <w:color w:val="auto"/>
          <w:sz w:val="21"/>
        </w:rPr>
      </w:pPr>
      <w:r>
        <w:rPr>
          <w:rFonts w:hAnsi="宋体"/>
          <w:bCs/>
          <w:color w:val="auto"/>
          <w:sz w:val="21"/>
        </w:rPr>
        <w:t>在充分调研的基础上，针对区域实际，制定物流仓储和城中村消防安全综合治理消防安全标准化制度方案。</w:t>
      </w:r>
    </w:p>
    <w:p>
      <w:pPr>
        <w:pStyle w:val="8"/>
        <w:widowControl/>
        <w:numPr>
          <w:ilvl w:val="0"/>
          <w:numId w:val="40"/>
        </w:numPr>
        <w:tabs>
          <w:tab w:val="left" w:pos="540"/>
        </w:tabs>
        <w:adjustRightInd w:val="0"/>
        <w:spacing w:line="360" w:lineRule="auto"/>
        <w:ind w:left="0" w:firstLine="425"/>
        <w:rPr>
          <w:rFonts w:hint="default" w:hAnsi="宋体"/>
          <w:bCs/>
          <w:color w:val="auto"/>
          <w:sz w:val="21"/>
        </w:rPr>
      </w:pPr>
      <w:r>
        <w:rPr>
          <w:rFonts w:hAnsi="宋体"/>
          <w:bCs/>
          <w:color w:val="auto"/>
          <w:sz w:val="21"/>
        </w:rPr>
        <w:t>制定的物流仓储和城中村消防安全标准化制度方案需满足以下要求：</w:t>
      </w:r>
    </w:p>
    <w:p>
      <w:pPr>
        <w:pStyle w:val="8"/>
        <w:widowControl/>
        <w:numPr>
          <w:ilvl w:val="0"/>
          <w:numId w:val="42"/>
        </w:numPr>
        <w:tabs>
          <w:tab w:val="left" w:pos="540"/>
        </w:tabs>
        <w:adjustRightInd w:val="0"/>
        <w:spacing w:line="360" w:lineRule="auto"/>
        <w:ind w:left="0" w:firstLine="425"/>
        <w:rPr>
          <w:rFonts w:hint="default" w:hAnsi="宋体"/>
          <w:bCs/>
          <w:color w:val="auto"/>
          <w:sz w:val="21"/>
        </w:rPr>
      </w:pPr>
      <w:r>
        <w:rPr>
          <w:rFonts w:hAnsi="宋体"/>
          <w:bCs/>
          <w:color w:val="auto"/>
          <w:sz w:val="21"/>
        </w:rPr>
        <w:t>标准符合现行法律法规；</w:t>
      </w:r>
    </w:p>
    <w:p>
      <w:pPr>
        <w:pStyle w:val="8"/>
        <w:widowControl/>
        <w:numPr>
          <w:ilvl w:val="0"/>
          <w:numId w:val="42"/>
        </w:numPr>
        <w:tabs>
          <w:tab w:val="left" w:pos="540"/>
        </w:tabs>
        <w:adjustRightInd w:val="0"/>
        <w:spacing w:line="360" w:lineRule="auto"/>
        <w:ind w:left="0" w:firstLine="425"/>
        <w:rPr>
          <w:rFonts w:hint="default" w:hAnsi="宋体"/>
          <w:bCs/>
          <w:color w:val="auto"/>
          <w:sz w:val="21"/>
        </w:rPr>
      </w:pPr>
      <w:r>
        <w:rPr>
          <w:rFonts w:hAnsi="宋体"/>
          <w:bCs/>
          <w:color w:val="auto"/>
          <w:sz w:val="21"/>
        </w:rPr>
        <w:t>标准易于执行并行之有效；</w:t>
      </w:r>
    </w:p>
    <w:p>
      <w:pPr>
        <w:pStyle w:val="8"/>
        <w:widowControl/>
        <w:numPr>
          <w:ilvl w:val="0"/>
          <w:numId w:val="42"/>
        </w:numPr>
        <w:tabs>
          <w:tab w:val="left" w:pos="540"/>
        </w:tabs>
        <w:adjustRightInd w:val="0"/>
        <w:spacing w:line="360" w:lineRule="auto"/>
        <w:ind w:left="0" w:firstLine="425"/>
        <w:rPr>
          <w:rFonts w:hint="default" w:hAnsi="宋体"/>
          <w:bCs/>
          <w:color w:val="auto"/>
          <w:sz w:val="21"/>
        </w:rPr>
      </w:pPr>
      <w:r>
        <w:rPr>
          <w:rFonts w:hint="default" w:hAnsi="宋体"/>
          <w:bCs/>
          <w:color w:val="auto"/>
          <w:sz w:val="21"/>
        </w:rPr>
        <w:t>标准化制度包括但不限于：人员办公、宿舍与物流仓储场所的防火间隔及疏散；物流仓储的货物分类标准；危险物品的识别和防火分隔标准；设置的必要消防设施标准；消防安全制度和管理措施；相关部门责任；消防安全教育、培训制度；防火巡查、检查制度。</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物流仓储消防安全标准化管理调研及城中村消防安全综合治理调研，了解区域内物流仓储、城中村消防现状，理解物流仓储、城中村的消防难点、痛点，预防仓储物流场所场所火灾，完善消防安全技术措施，规范消防安全管理要求，降低场所火灾风险，保护人身和财产安全，制定物流仓储、城中村场所消防安全风险排查治理制度。适用于既有的丙、丁、戊类仓储物流场所和城中村各场所的消防安全治理。已经投入使用的仓储物流和城中村场所的消防安全技术措施不符合制度标准要求的，应按制度标准要求进行防火改造，并加强消防安全管理。</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社区消防器材配置及消防安全管理制度建设</w:t>
      </w:r>
    </w:p>
    <w:p>
      <w:pPr>
        <w:pStyle w:val="8"/>
        <w:widowControl/>
        <w:numPr>
          <w:ilvl w:val="0"/>
          <w:numId w:val="43"/>
        </w:numPr>
        <w:tabs>
          <w:tab w:val="left" w:pos="540"/>
        </w:tabs>
        <w:adjustRightInd w:val="0"/>
        <w:spacing w:line="360" w:lineRule="auto"/>
        <w:ind w:left="0" w:firstLine="425"/>
        <w:rPr>
          <w:rFonts w:hint="default" w:hAnsi="宋体"/>
          <w:bCs/>
          <w:color w:val="auto"/>
          <w:sz w:val="21"/>
        </w:rPr>
      </w:pPr>
      <w:r>
        <w:rPr>
          <w:rFonts w:hAnsi="宋体"/>
          <w:bCs/>
          <w:color w:val="auto"/>
          <w:sz w:val="21"/>
        </w:rPr>
        <w:t>在23个经济合作社均建设社区消防微型消防站，协助微型消防站选点；</w:t>
      </w:r>
    </w:p>
    <w:p>
      <w:pPr>
        <w:pStyle w:val="8"/>
        <w:widowControl/>
        <w:numPr>
          <w:ilvl w:val="0"/>
          <w:numId w:val="43"/>
        </w:numPr>
        <w:tabs>
          <w:tab w:val="left" w:pos="540"/>
        </w:tabs>
        <w:adjustRightInd w:val="0"/>
        <w:spacing w:line="360" w:lineRule="auto"/>
        <w:ind w:left="0" w:firstLine="425"/>
        <w:rPr>
          <w:rFonts w:hint="default" w:hAnsi="宋体"/>
          <w:bCs/>
          <w:color w:val="auto"/>
          <w:sz w:val="21"/>
        </w:rPr>
      </w:pPr>
      <w:r>
        <w:rPr>
          <w:rFonts w:hAnsi="宋体"/>
          <w:bCs/>
          <w:color w:val="auto"/>
          <w:sz w:val="21"/>
        </w:rPr>
        <w:t>负责微型消防站点建设及相关消防器材采购，器材规格数量不少于以下表格所示：</w:t>
      </w:r>
    </w:p>
    <w:tbl>
      <w:tblPr>
        <w:tblStyle w:val="2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2068"/>
        <w:gridCol w:w="3696"/>
        <w:gridCol w:w="1134"/>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序号</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名称</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规格</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数量</w:t>
            </w:r>
          </w:p>
        </w:tc>
        <w:tc>
          <w:tcPr>
            <w:tcW w:w="1971"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微型消防站柜体</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1.6m*1.2m*0.4m或以上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1971"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建筑灭火器</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5KG/ABC干粉</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水枪</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直流水枪QZ3.5/7.5</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水带</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8-65-25</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涤纶长丝</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灭火防护服</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阻燃抗湿织物</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灭火毯</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1-6公里使用距离或以上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7</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消防头盔</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耐高温260℃</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8</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防护靴</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符合GA-2004标准</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9</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破拆斧</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符合GA 630-2006标准</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10</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消防手套</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阻燃抗湿织物</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11</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消防扳手</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长：380mm，宽：100mm</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p>
            <w:pPr>
              <w:spacing w:after="0"/>
              <w:jc w:val="center"/>
              <w:rPr>
                <w:rFonts w:ascii="宋体" w:hAnsi="宋体" w:eastAsia="宋体" w:cs="宋体"/>
                <w:color w:val="auto"/>
                <w:sz w:val="21"/>
                <w:szCs w:val="21"/>
              </w:rPr>
            </w:pP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12</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防烟面具</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防护时间大于30min</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13</w:t>
            </w:r>
          </w:p>
        </w:tc>
        <w:tc>
          <w:tcPr>
            <w:tcW w:w="2068"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强光手电</w:t>
            </w:r>
          </w:p>
        </w:tc>
        <w:tc>
          <w:tcPr>
            <w:tcW w:w="369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射程大于100m，续航2小时或以上</w:t>
            </w:r>
          </w:p>
        </w:tc>
        <w:tc>
          <w:tcPr>
            <w:tcW w:w="1134"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1971" w:type="dxa"/>
            <w:vAlign w:val="center"/>
          </w:tcPr>
          <w:p>
            <w:pPr>
              <w:spacing w:after="0"/>
              <w:jc w:val="center"/>
              <w:rPr>
                <w:rFonts w:ascii="宋体" w:hAnsi="宋体" w:eastAsia="宋体" w:cs="宋体"/>
                <w:color w:val="auto"/>
                <w:sz w:val="21"/>
                <w:szCs w:val="21"/>
              </w:rPr>
            </w:pPr>
          </w:p>
        </w:tc>
      </w:tr>
    </w:tbl>
    <w:p>
      <w:pPr>
        <w:pStyle w:val="8"/>
        <w:widowControl/>
        <w:numPr>
          <w:ilvl w:val="0"/>
          <w:numId w:val="43"/>
        </w:numPr>
        <w:tabs>
          <w:tab w:val="left" w:pos="540"/>
        </w:tabs>
        <w:adjustRightInd w:val="0"/>
        <w:spacing w:line="360" w:lineRule="auto"/>
        <w:ind w:left="0" w:firstLine="425"/>
        <w:rPr>
          <w:rFonts w:hint="default" w:hAnsi="宋体"/>
          <w:bCs/>
          <w:color w:val="auto"/>
          <w:sz w:val="21"/>
        </w:rPr>
      </w:pPr>
      <w:r>
        <w:rPr>
          <w:rFonts w:hAnsi="宋体"/>
          <w:bCs/>
          <w:color w:val="auto"/>
          <w:sz w:val="21"/>
        </w:rPr>
        <w:t>负责消防安全管理制度建设。</w:t>
      </w:r>
    </w:p>
    <w:p>
      <w:pPr>
        <w:pStyle w:val="8"/>
        <w:widowControl/>
        <w:tabs>
          <w:tab w:val="left" w:pos="540"/>
        </w:tabs>
        <w:adjustRightInd w:val="0"/>
        <w:spacing w:line="360" w:lineRule="auto"/>
        <w:ind w:firstLine="422" w:firstLineChars="200"/>
        <w:rPr>
          <w:rFonts w:hint="default" w:hAnsi="宋体"/>
          <w:bCs/>
          <w:color w:val="auto"/>
          <w:sz w:val="21"/>
        </w:rPr>
      </w:pPr>
      <w:r>
        <w:rPr>
          <w:rFonts w:hint="default" w:hAnsi="宋体"/>
          <w:b/>
          <w:color w:val="auto"/>
          <w:sz w:val="21"/>
        </w:rPr>
        <w:t>达到效果</w:t>
      </w:r>
      <w:r>
        <w:rPr>
          <w:rFonts w:hint="default" w:hAnsi="宋体"/>
          <w:bCs/>
          <w:color w:val="auto"/>
          <w:sz w:val="21"/>
        </w:rPr>
        <w:t>：通过每个经济合作社设立社区微型消防站，发挥微型消防站地理距离近、机动灵活的优势，一旦发生来突发情况，执勤人员自可迅速出警处置，以确保达到迅速到达的要求。微型消防站也是解决企业和重点消防单位紧急救援需求的第一梯队，可以第一时间组织成小型战斗力进行初期火灾的扑救度及人员疏散撤离，协助临近单位和企业进行火灾扑救。同时，微型消防站也作为消防宣传的重要场所，制定的消防安全管理制度可帮助群众、企业接触消防、理解消防，让消防安全深入基层，让群众、企业重视消防安全，以达到预防火灾、减少火灾损失的目的。</w:t>
      </w:r>
    </w:p>
    <w:p>
      <w:pPr>
        <w:pStyle w:val="8"/>
        <w:widowControl/>
        <w:numPr>
          <w:ilvl w:val="0"/>
          <w:numId w:val="37"/>
        </w:numPr>
        <w:tabs>
          <w:tab w:val="left" w:pos="540"/>
        </w:tabs>
        <w:adjustRightInd w:val="0"/>
        <w:spacing w:line="360" w:lineRule="auto"/>
        <w:rPr>
          <w:rFonts w:hint="default" w:hAnsi="宋体"/>
          <w:bCs/>
          <w:color w:val="auto"/>
          <w:sz w:val="21"/>
        </w:rPr>
      </w:pPr>
      <w:r>
        <w:rPr>
          <w:rFonts w:hAnsi="宋体"/>
          <w:bCs/>
          <w:color w:val="auto"/>
          <w:sz w:val="21"/>
        </w:rPr>
        <w:t>试点现场会布置及材料总结</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为消防试点工作顺利推进，并加大消防安全宣传教育，在试点工作开展之初举办消防试点工作宣传，让大源村群众、企业积极参与到试点工作中，成交供应商开展消防试点工作宣传工作。</w:t>
      </w:r>
    </w:p>
    <w:p>
      <w:pPr>
        <w:pStyle w:val="8"/>
        <w:widowControl/>
        <w:tabs>
          <w:tab w:val="left" w:pos="540"/>
        </w:tabs>
        <w:adjustRightInd w:val="0"/>
        <w:spacing w:line="360" w:lineRule="auto"/>
        <w:ind w:firstLine="420" w:firstLineChars="200"/>
        <w:rPr>
          <w:rFonts w:hint="default" w:hAnsi="宋体"/>
          <w:bCs/>
          <w:color w:val="auto"/>
          <w:sz w:val="21"/>
        </w:rPr>
      </w:pPr>
      <w:r>
        <w:rPr>
          <w:rFonts w:hAnsi="宋体"/>
          <w:bCs/>
          <w:color w:val="auto"/>
          <w:sz w:val="21"/>
        </w:rPr>
        <w:t>成交供应商完成各项试点工作后，组织政府机关、消防部门等相关单位进行试点验收，加深群众对消防试点工作的认识，牢固工作成果，让消防试点工作能长期有效的运行。</w:t>
      </w:r>
    </w:p>
    <w:p>
      <w:pPr>
        <w:pStyle w:val="8"/>
        <w:widowControl/>
        <w:numPr>
          <w:ilvl w:val="0"/>
          <w:numId w:val="44"/>
        </w:numPr>
        <w:tabs>
          <w:tab w:val="left" w:pos="540"/>
        </w:tabs>
        <w:adjustRightInd w:val="0"/>
        <w:spacing w:line="360" w:lineRule="auto"/>
        <w:ind w:left="0" w:firstLine="425"/>
        <w:rPr>
          <w:rFonts w:hint="default" w:hAnsi="宋体"/>
          <w:bCs/>
          <w:color w:val="auto"/>
          <w:sz w:val="21"/>
        </w:rPr>
      </w:pPr>
      <w:r>
        <w:rPr>
          <w:rFonts w:hAnsi="宋体"/>
          <w:bCs/>
          <w:color w:val="auto"/>
          <w:sz w:val="21"/>
        </w:rPr>
        <w:t>开展试点工作宣传工作；</w:t>
      </w:r>
    </w:p>
    <w:p>
      <w:pPr>
        <w:pStyle w:val="8"/>
        <w:widowControl/>
        <w:numPr>
          <w:ilvl w:val="0"/>
          <w:numId w:val="44"/>
        </w:numPr>
        <w:tabs>
          <w:tab w:val="left" w:pos="540"/>
        </w:tabs>
        <w:adjustRightInd w:val="0"/>
        <w:spacing w:line="360" w:lineRule="auto"/>
        <w:ind w:left="0" w:firstLine="425"/>
        <w:rPr>
          <w:rFonts w:hint="default" w:hAnsi="宋体"/>
          <w:bCs/>
          <w:color w:val="auto"/>
          <w:sz w:val="21"/>
        </w:rPr>
      </w:pPr>
      <w:r>
        <w:rPr>
          <w:rFonts w:hAnsi="宋体"/>
          <w:bCs/>
          <w:color w:val="auto"/>
          <w:sz w:val="21"/>
        </w:rPr>
        <w:t>开展区域范围内群众、企业宣传教育活动；</w:t>
      </w:r>
    </w:p>
    <w:p>
      <w:pPr>
        <w:pStyle w:val="8"/>
        <w:widowControl/>
        <w:numPr>
          <w:ilvl w:val="0"/>
          <w:numId w:val="44"/>
        </w:numPr>
        <w:tabs>
          <w:tab w:val="left" w:pos="540"/>
        </w:tabs>
        <w:adjustRightInd w:val="0"/>
        <w:spacing w:line="360" w:lineRule="auto"/>
        <w:ind w:left="0" w:firstLine="425"/>
        <w:rPr>
          <w:rFonts w:hint="default" w:hAnsi="宋体"/>
          <w:bCs/>
          <w:color w:val="auto"/>
          <w:sz w:val="21"/>
        </w:rPr>
      </w:pPr>
      <w:r>
        <w:rPr>
          <w:rFonts w:hAnsi="宋体"/>
          <w:bCs/>
          <w:color w:val="auto"/>
          <w:sz w:val="21"/>
        </w:rPr>
        <w:t>配合上级机关部门的调研接待、协调；</w:t>
      </w:r>
    </w:p>
    <w:p>
      <w:pPr>
        <w:pStyle w:val="8"/>
        <w:widowControl/>
        <w:numPr>
          <w:ilvl w:val="0"/>
          <w:numId w:val="44"/>
        </w:numPr>
        <w:tabs>
          <w:tab w:val="left" w:pos="540"/>
        </w:tabs>
        <w:adjustRightInd w:val="0"/>
        <w:spacing w:line="360" w:lineRule="auto"/>
        <w:ind w:left="0" w:firstLine="425"/>
        <w:rPr>
          <w:rFonts w:hint="default" w:hAnsi="宋体" w:cs="宋体"/>
          <w:color w:val="auto"/>
          <w:sz w:val="21"/>
        </w:rPr>
      </w:pPr>
      <w:r>
        <w:rPr>
          <w:rFonts w:hAnsi="宋体"/>
          <w:bCs/>
          <w:color w:val="auto"/>
          <w:sz w:val="21"/>
        </w:rPr>
        <w:t>开展试点工作材料总结。</w:t>
      </w:r>
    </w:p>
    <w:p>
      <w:pPr>
        <w:pStyle w:val="8"/>
        <w:widowControl/>
        <w:tabs>
          <w:tab w:val="left" w:pos="540"/>
        </w:tabs>
        <w:adjustRightInd w:val="0"/>
        <w:spacing w:line="360" w:lineRule="auto"/>
        <w:ind w:firstLine="422" w:firstLineChars="200"/>
        <w:rPr>
          <w:rFonts w:hint="default" w:hAnsi="宋体" w:cs="宋体"/>
          <w:color w:val="auto"/>
          <w:sz w:val="21"/>
        </w:rPr>
      </w:pPr>
      <w:r>
        <w:rPr>
          <w:rFonts w:hint="default" w:hAnsi="宋体" w:cs="宋体"/>
          <w:b/>
          <w:bCs/>
          <w:color w:val="auto"/>
          <w:sz w:val="21"/>
        </w:rPr>
        <w:t>达到效果</w:t>
      </w:r>
      <w:r>
        <w:rPr>
          <w:rFonts w:hint="default" w:hAnsi="宋体" w:cs="宋体"/>
          <w:color w:val="auto"/>
          <w:sz w:val="21"/>
        </w:rPr>
        <w:t>：在基层开展消防讲座和消防安全知识培训，邀请消防领域知名专家、一级注册消防工程师或中级工程师，针对区域特点，以知识讲座与现场消防器材操作有机结合的创新形式，将消防教育和实际操作融入到一体，从理论和实践两个方面让参训人员对消防安全有更加深刻的理解和认识。为区域内的消防专（兼）职人员提供切实有效的消防培训，使消防专（兼）职人员了解所在单位消防系统概况及规章制度，使员工明确自己的岗位职责、工作任务和工作目标。</w:t>
      </w:r>
    </w:p>
    <w:p>
      <w:pPr>
        <w:pStyle w:val="8"/>
        <w:widowControl/>
        <w:tabs>
          <w:tab w:val="left" w:pos="540"/>
        </w:tabs>
        <w:adjustRightInd w:val="0"/>
        <w:spacing w:line="360" w:lineRule="auto"/>
        <w:ind w:firstLine="420" w:firstLineChars="200"/>
        <w:rPr>
          <w:rFonts w:hint="default" w:hAnsi="宋体" w:cs="宋体"/>
          <w:color w:val="auto"/>
          <w:sz w:val="21"/>
        </w:rPr>
      </w:pPr>
      <w:r>
        <w:rPr>
          <w:rFonts w:hint="default" w:hAnsi="宋体" w:cs="宋体"/>
          <w:color w:val="auto"/>
          <w:sz w:val="21"/>
        </w:rPr>
        <w:t>通过试点工作的总结，总结本次活动的经验和成果，有效防止消防安全事故的发生，使得消防安全工作取得进步，促进了各项民生工作的顺利开展。让群众和企业在试点工作中进一步提高对消防安全工作重要性的认识，切实履行消防责任，健全内部责任制，狠抓措施落实，严防各类消防安全责任事故的发生，确保人民群众生命财产安全。</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sz w:val="21"/>
          <w:szCs w:val="21"/>
        </w:rPr>
      </w:pPr>
      <w:r>
        <w:rPr>
          <w:rFonts w:hint="eastAsia" w:ascii="宋体" w:hAnsi="宋体" w:eastAsia="宋体" w:cs="宋体"/>
          <w:b/>
          <w:color w:val="auto"/>
          <w:sz w:val="21"/>
          <w:szCs w:val="21"/>
        </w:rPr>
        <w:t>项目人员要求</w:t>
      </w:r>
    </w:p>
    <w:p>
      <w:pPr>
        <w:keepNext/>
        <w:keepLines/>
        <w:widowControl w:val="0"/>
        <w:adjustRightInd/>
        <w:spacing w:after="0" w:line="360" w:lineRule="auto"/>
        <w:rPr>
          <w:rFonts w:ascii="宋体" w:hAnsi="宋体" w:eastAsia="宋体" w:cs="宋体"/>
          <w:color w:val="auto"/>
          <w:sz w:val="21"/>
          <w:szCs w:val="21"/>
        </w:rPr>
      </w:pPr>
      <w:r>
        <w:rPr>
          <w:rFonts w:ascii="宋体" w:hAnsi="宋体" w:eastAsia="宋体" w:cs="宋体"/>
          <w:color w:val="auto"/>
          <w:sz w:val="21"/>
          <w:szCs w:val="21"/>
        </w:rPr>
        <w:t>本项目人员要求不得少于以下表格要求：</w:t>
      </w:r>
    </w:p>
    <w:tbl>
      <w:tblPr>
        <w:tblStyle w:val="21"/>
        <w:tblW w:w="102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3189"/>
        <w:gridCol w:w="4836"/>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序号</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需求</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人员要求</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“防消一体化”调度指挥体系及机制建设</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项目经理（技术专家）：一级注册消防工程师；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调查人员：建构筑消防员/消防设施操作员5人；</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消防安全网格化排查</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（出租屋约有2100栋）</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排查领队：一级注册消防工程师；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排查队员：建构筑消防员/消防设施操作员10人；</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重点场所评估检测</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（面积约210万㎡）</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评估领队：一级注册消防工程师；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评估检测队员：建构筑消防员/消防设施操作员20人；</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物流仓储消防安全标准化管理调研及城中村消防安全综合治理调研、制度建设调研，方案编写</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技术负责人：一级注册消防工程师；</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调研队员：建构筑消防员/消防设施操作员10人；</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45日历天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9"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5</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社区消防器材配置及消防安全管理制度建设</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项目经理：一级注册消防工程师</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tblHeader/>
          <w:jc w:val="center"/>
        </w:trPr>
        <w:tc>
          <w:tcPr>
            <w:tcW w:w="88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w:t>
            </w:r>
          </w:p>
        </w:tc>
        <w:tc>
          <w:tcPr>
            <w:tcW w:w="3189"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试点现场会布置及消防宣传培训活动与材料总结</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项目经理：一级注册消防工程师</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blHeader/>
          <w:jc w:val="center"/>
        </w:trPr>
        <w:tc>
          <w:tcPr>
            <w:tcW w:w="4075" w:type="dxa"/>
            <w:gridSpan w:val="2"/>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合计</w:t>
            </w:r>
          </w:p>
        </w:tc>
        <w:tc>
          <w:tcPr>
            <w:tcW w:w="4836"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一级注册消防工程师：4人；</w:t>
            </w:r>
          </w:p>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建构筑消防员/消防设施操作员:45人</w:t>
            </w:r>
          </w:p>
        </w:tc>
        <w:tc>
          <w:tcPr>
            <w:tcW w:w="1347" w:type="dxa"/>
            <w:vAlign w:val="center"/>
          </w:tcPr>
          <w:p>
            <w:pPr>
              <w:spacing w:after="0"/>
              <w:jc w:val="center"/>
              <w:rPr>
                <w:rFonts w:ascii="宋体" w:hAnsi="宋体" w:eastAsia="宋体" w:cs="宋体"/>
                <w:color w:val="auto"/>
                <w:sz w:val="21"/>
                <w:szCs w:val="21"/>
              </w:rPr>
            </w:pPr>
            <w:r>
              <w:rPr>
                <w:rFonts w:hint="eastAsia" w:ascii="宋体" w:hAnsi="宋体" w:eastAsia="宋体" w:cs="宋体"/>
                <w:color w:val="auto"/>
                <w:sz w:val="21"/>
                <w:szCs w:val="21"/>
              </w:rPr>
              <w:t>60日历天</w:t>
            </w:r>
          </w:p>
        </w:tc>
      </w:tr>
    </w:tbl>
    <w:p>
      <w:pPr>
        <w:rPr>
          <w:color w:val="auto"/>
        </w:rPr>
      </w:pP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sz w:val="21"/>
          <w:szCs w:val="21"/>
        </w:rPr>
      </w:pPr>
      <w:r>
        <w:rPr>
          <w:rFonts w:hint="eastAsia" w:ascii="宋体" w:hAnsi="宋体" w:eastAsia="宋体" w:cs="宋体"/>
          <w:b/>
          <w:color w:val="auto"/>
          <w:sz w:val="21"/>
          <w:szCs w:val="21"/>
          <w:lang w:eastAsia="zh-CN"/>
        </w:rPr>
        <w:t>履约保证金</w:t>
      </w:r>
    </w:p>
    <w:p>
      <w:pPr>
        <w:widowControl w:val="0"/>
        <w:numPr>
          <w:ilvl w:val="0"/>
          <w:numId w:val="45"/>
        </w:numPr>
        <w:autoSpaceDE w:val="0"/>
        <w:autoSpaceDN w:val="0"/>
        <w:spacing w:after="0" w:line="360" w:lineRule="auto"/>
        <w:ind w:left="0" w:firstLine="420" w:firstLineChars="200"/>
        <w:jc w:val="both"/>
        <w:rPr>
          <w:rFonts w:hint="default" w:ascii="宋体" w:hAnsi="宋体" w:eastAsia="宋体" w:cs="宋体"/>
          <w:bCs/>
          <w:color w:val="auto"/>
          <w:sz w:val="21"/>
          <w:szCs w:val="21"/>
          <w:lang w:val="en-US" w:eastAsia="zh-CN"/>
        </w:rPr>
      </w:pPr>
      <w:r>
        <w:rPr>
          <w:rFonts w:hint="default" w:ascii="宋体" w:hAnsi="宋体" w:eastAsia="宋体" w:cs="宋体"/>
          <w:bCs/>
          <w:color w:val="auto"/>
          <w:sz w:val="21"/>
          <w:szCs w:val="21"/>
          <w:lang w:val="en-US" w:eastAsia="zh-CN"/>
        </w:rPr>
        <w:t>提交时间：合同签订之日起</w:t>
      </w:r>
      <w:r>
        <w:rPr>
          <w:rFonts w:hint="eastAsia" w:ascii="宋体" w:hAnsi="宋体" w:eastAsia="宋体" w:cs="宋体"/>
          <w:bCs/>
          <w:color w:val="auto"/>
          <w:sz w:val="21"/>
          <w:szCs w:val="21"/>
          <w:lang w:val="en-US" w:eastAsia="zh-CN"/>
        </w:rPr>
        <w:t>7个工作</w:t>
      </w:r>
      <w:r>
        <w:rPr>
          <w:rFonts w:hint="default" w:ascii="宋体" w:hAnsi="宋体" w:eastAsia="宋体" w:cs="宋体"/>
          <w:bCs/>
          <w:color w:val="auto"/>
          <w:sz w:val="21"/>
          <w:szCs w:val="21"/>
          <w:lang w:val="en-US" w:eastAsia="zh-CN"/>
        </w:rPr>
        <w:t>日内</w:t>
      </w:r>
      <w:r>
        <w:rPr>
          <w:rFonts w:hint="eastAsia" w:ascii="宋体" w:hAnsi="宋体" w:eastAsia="宋体" w:cs="宋体"/>
          <w:bCs/>
          <w:color w:val="auto"/>
          <w:sz w:val="21"/>
          <w:szCs w:val="21"/>
          <w:lang w:val="en-US" w:eastAsia="zh-CN"/>
        </w:rPr>
        <w:t>乙方向甲方提交规定金额的履约保证金</w:t>
      </w:r>
      <w:r>
        <w:rPr>
          <w:rFonts w:hint="default" w:ascii="宋体" w:hAnsi="宋体" w:eastAsia="宋体" w:cs="宋体"/>
          <w:bCs/>
          <w:color w:val="auto"/>
          <w:sz w:val="21"/>
          <w:szCs w:val="21"/>
          <w:lang w:val="en-US" w:eastAsia="zh-CN"/>
        </w:rPr>
        <w:t>；</w:t>
      </w: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开具收据作为凭证。</w:t>
      </w:r>
    </w:p>
    <w:p>
      <w:pPr>
        <w:widowControl w:val="0"/>
        <w:numPr>
          <w:ilvl w:val="0"/>
          <w:numId w:val="45"/>
        </w:numPr>
        <w:autoSpaceDE w:val="0"/>
        <w:autoSpaceDN w:val="0"/>
        <w:spacing w:after="0" w:line="360" w:lineRule="auto"/>
        <w:ind w:left="0" w:firstLine="420" w:firstLineChars="200"/>
        <w:jc w:val="both"/>
        <w:rPr>
          <w:rFonts w:hint="default" w:ascii="宋体" w:hAnsi="宋体" w:eastAsia="宋体" w:cs="宋体"/>
          <w:bCs/>
          <w:color w:val="auto"/>
          <w:sz w:val="21"/>
          <w:szCs w:val="21"/>
          <w:lang w:val="en-US" w:eastAsia="zh-CN"/>
        </w:rPr>
      </w:pPr>
      <w:r>
        <w:rPr>
          <w:rFonts w:hint="default" w:ascii="宋体" w:hAnsi="宋体" w:eastAsia="宋体" w:cs="宋体"/>
          <w:bCs/>
          <w:color w:val="auto"/>
          <w:sz w:val="21"/>
          <w:szCs w:val="21"/>
          <w:lang w:val="en-US" w:eastAsia="zh-CN"/>
        </w:rPr>
        <w:t>金额：合同（成交）金额的</w:t>
      </w:r>
      <w:r>
        <w:rPr>
          <w:rFonts w:hint="eastAsia" w:ascii="宋体" w:hAnsi="宋体" w:eastAsia="宋体" w:cs="宋体"/>
          <w:bCs/>
          <w:color w:val="auto"/>
          <w:sz w:val="21"/>
          <w:szCs w:val="21"/>
          <w:lang w:val="en-US" w:eastAsia="zh-CN"/>
        </w:rPr>
        <w:t>5</w:t>
      </w:r>
      <w:r>
        <w:rPr>
          <w:rFonts w:hint="default" w:ascii="宋体" w:hAnsi="宋体" w:eastAsia="宋体" w:cs="宋体"/>
          <w:bCs/>
          <w:color w:val="auto"/>
          <w:sz w:val="21"/>
          <w:szCs w:val="21"/>
          <w:lang w:val="en-US" w:eastAsia="zh-CN"/>
        </w:rPr>
        <w:t xml:space="preserve">%； </w:t>
      </w:r>
    </w:p>
    <w:p>
      <w:pPr>
        <w:widowControl w:val="0"/>
        <w:numPr>
          <w:ilvl w:val="0"/>
          <w:numId w:val="45"/>
        </w:numPr>
        <w:autoSpaceDE w:val="0"/>
        <w:autoSpaceDN w:val="0"/>
        <w:spacing w:after="0" w:line="360" w:lineRule="auto"/>
        <w:ind w:left="0" w:firstLine="420" w:firstLineChars="200"/>
        <w:jc w:val="both"/>
        <w:rPr>
          <w:rFonts w:hint="default" w:ascii="宋体" w:hAnsi="宋体" w:eastAsia="宋体" w:cs="宋体"/>
          <w:bCs/>
          <w:color w:val="auto"/>
          <w:sz w:val="21"/>
          <w:szCs w:val="21"/>
          <w:lang w:val="en-US" w:eastAsia="zh-CN"/>
        </w:rPr>
      </w:pPr>
      <w:r>
        <w:rPr>
          <w:rFonts w:hint="default" w:ascii="宋体" w:hAnsi="宋体" w:eastAsia="宋体" w:cs="宋体"/>
          <w:bCs/>
          <w:color w:val="auto"/>
          <w:sz w:val="21"/>
          <w:szCs w:val="21"/>
          <w:lang w:val="en-US" w:eastAsia="zh-CN"/>
        </w:rPr>
        <w:t>方式：银行转账或担保机构出具的保函；</w:t>
      </w:r>
    </w:p>
    <w:p>
      <w:pPr>
        <w:widowControl w:val="0"/>
        <w:numPr>
          <w:ilvl w:val="0"/>
          <w:numId w:val="45"/>
        </w:numPr>
        <w:autoSpaceDE w:val="0"/>
        <w:autoSpaceDN w:val="0"/>
        <w:spacing w:after="0" w:line="360" w:lineRule="auto"/>
        <w:ind w:left="0" w:firstLine="420" w:firstLineChars="200"/>
        <w:jc w:val="both"/>
        <w:rPr>
          <w:rFonts w:hint="default" w:ascii="宋体" w:hAnsi="宋体" w:eastAsia="宋体" w:cs="宋体"/>
          <w:bCs/>
          <w:color w:val="auto"/>
          <w:sz w:val="21"/>
          <w:szCs w:val="21"/>
          <w:lang w:val="en-US" w:eastAsia="zh-CN"/>
        </w:rPr>
      </w:pPr>
      <w:r>
        <w:rPr>
          <w:rFonts w:hint="default" w:ascii="宋体" w:hAnsi="宋体" w:eastAsia="宋体" w:cs="宋体"/>
          <w:bCs/>
          <w:color w:val="auto"/>
          <w:sz w:val="21"/>
          <w:szCs w:val="21"/>
          <w:lang w:val="en-US" w:eastAsia="zh-CN"/>
        </w:rPr>
        <w:t>退还时间及退还方式：在</w:t>
      </w: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完成其全部合同义务，包括任何保证义务后30日内，如为银行转账递交履约保证金的，</w:t>
      </w: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一次性无息退还；如为担保机构出具保函的到期自动失效</w:t>
      </w:r>
      <w:r>
        <w:rPr>
          <w:rFonts w:hint="eastAsia" w:ascii="宋体" w:hAnsi="宋体" w:eastAsia="宋体" w:cs="宋体"/>
          <w:bCs/>
          <w:color w:val="auto"/>
          <w:sz w:val="21"/>
          <w:szCs w:val="21"/>
          <w:lang w:val="en-US" w:eastAsia="zh-CN"/>
        </w:rPr>
        <w:t>。</w:t>
      </w:r>
    </w:p>
    <w:p>
      <w:pPr>
        <w:widowControl w:val="0"/>
        <w:numPr>
          <w:ilvl w:val="0"/>
          <w:numId w:val="45"/>
        </w:numPr>
        <w:autoSpaceDE w:val="0"/>
        <w:autoSpaceDN w:val="0"/>
        <w:spacing w:after="0" w:line="360" w:lineRule="auto"/>
        <w:ind w:left="0" w:firstLine="420" w:firstLineChars="200"/>
        <w:jc w:val="both"/>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违反合同及其附件约定的任何义务，</w:t>
      </w: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有权在履约保证金中直接扣除</w:t>
      </w: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应向</w:t>
      </w: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支付的违约金或损失赔偿额，如有不足的，</w:t>
      </w: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应对超过的部分予以赔偿。</w:t>
      </w:r>
    </w:p>
    <w:p>
      <w:pPr>
        <w:widowControl w:val="0"/>
        <w:numPr>
          <w:ilvl w:val="0"/>
          <w:numId w:val="45"/>
        </w:numPr>
        <w:autoSpaceDE w:val="0"/>
        <w:autoSpaceDN w:val="0"/>
        <w:spacing w:after="0" w:line="360" w:lineRule="auto"/>
        <w:ind w:left="0" w:firstLine="420" w:firstLineChars="200"/>
        <w:jc w:val="both"/>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逾期退还履约保证金的违约责任：</w:t>
      </w:r>
      <w:r>
        <w:rPr>
          <w:rFonts w:hint="eastAsia" w:ascii="宋体" w:hAnsi="宋体" w:eastAsia="宋体" w:cs="宋体"/>
          <w:bCs/>
          <w:color w:val="auto"/>
          <w:sz w:val="21"/>
          <w:szCs w:val="21"/>
          <w:lang w:val="en-US" w:eastAsia="zh-CN"/>
        </w:rPr>
        <w:t>甲方</w:t>
      </w:r>
      <w:r>
        <w:rPr>
          <w:rFonts w:hint="default" w:ascii="宋体" w:hAnsi="宋体" w:eastAsia="宋体" w:cs="宋体"/>
          <w:bCs/>
          <w:color w:val="auto"/>
          <w:sz w:val="21"/>
          <w:szCs w:val="21"/>
          <w:lang w:val="en-US" w:eastAsia="zh-CN"/>
        </w:rPr>
        <w:t>逾期退还履约保证金的，除应当退还履约保证金本金外，还应当每日按合同总价的3</w:t>
      </w:r>
      <w:r>
        <w:rPr>
          <w:rFonts w:hint="eastAsia" w:ascii="宋体" w:hAnsi="宋体" w:eastAsia="宋体" w:cs="宋体"/>
          <w:bCs/>
          <w:color w:val="auto"/>
          <w:sz w:val="21"/>
          <w:szCs w:val="21"/>
          <w:lang w:val="en-US" w:eastAsia="zh-CN"/>
        </w:rPr>
        <w:t>%</w:t>
      </w:r>
      <w:r>
        <w:rPr>
          <w:rFonts w:hint="default" w:ascii="宋体" w:hAnsi="宋体" w:eastAsia="宋体" w:cs="宋体"/>
          <w:bCs/>
          <w:color w:val="auto"/>
          <w:sz w:val="21"/>
          <w:szCs w:val="21"/>
          <w:lang w:val="en-US" w:eastAsia="zh-CN"/>
        </w:rPr>
        <w:t>向</w:t>
      </w: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偿付违约金，但因</w:t>
      </w:r>
      <w:r>
        <w:rPr>
          <w:rFonts w:hint="eastAsia" w:ascii="宋体" w:hAnsi="宋体" w:eastAsia="宋体" w:cs="宋体"/>
          <w:bCs/>
          <w:color w:val="auto"/>
          <w:sz w:val="21"/>
          <w:szCs w:val="21"/>
          <w:lang w:val="en-US" w:eastAsia="zh-CN"/>
        </w:rPr>
        <w:t>乙方</w:t>
      </w:r>
      <w:r>
        <w:rPr>
          <w:rFonts w:hint="default" w:ascii="宋体" w:hAnsi="宋体" w:eastAsia="宋体" w:cs="宋体"/>
          <w:bCs/>
          <w:color w:val="auto"/>
          <w:sz w:val="21"/>
          <w:szCs w:val="21"/>
          <w:lang w:val="en-US" w:eastAsia="zh-CN"/>
        </w:rPr>
        <w:t>自身原因导致无法及时退还的除外。</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sz w:val="21"/>
          <w:szCs w:val="21"/>
        </w:rPr>
      </w:pPr>
      <w:r>
        <w:rPr>
          <w:rFonts w:hint="eastAsia" w:ascii="宋体" w:hAnsi="宋体" w:eastAsia="宋体" w:cs="宋体"/>
          <w:b/>
          <w:color w:val="auto"/>
          <w:sz w:val="21"/>
          <w:szCs w:val="21"/>
        </w:rPr>
        <w:t>付款方式</w:t>
      </w:r>
    </w:p>
    <w:p>
      <w:pPr>
        <w:widowControl w:val="0"/>
        <w:numPr>
          <w:ilvl w:val="0"/>
          <w:numId w:val="46"/>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rPr>
        <w:t>合同签订后7个工作日内，支付合同总价的30%。</w:t>
      </w:r>
    </w:p>
    <w:p>
      <w:pPr>
        <w:widowControl w:val="0"/>
        <w:numPr>
          <w:ilvl w:val="0"/>
          <w:numId w:val="46"/>
        </w:numPr>
        <w:autoSpaceDE w:val="0"/>
        <w:autoSpaceDN w:val="0"/>
        <w:spacing w:after="0" w:line="360" w:lineRule="auto"/>
        <w:ind w:left="0" w:firstLine="420" w:firstLineChars="200"/>
        <w:rPr>
          <w:rFonts w:hint="eastAsia" w:ascii="宋体" w:hAnsi="宋体" w:eastAsia="宋体" w:cs="宋体"/>
          <w:b w:val="0"/>
          <w:bCs/>
          <w:i w:val="0"/>
          <w:iCs w:val="0"/>
          <w:color w:val="auto"/>
          <w:sz w:val="21"/>
          <w:szCs w:val="21"/>
        </w:rPr>
      </w:pPr>
      <w:r>
        <w:rPr>
          <w:rFonts w:hint="eastAsia" w:ascii="宋体" w:hAnsi="宋体" w:eastAsia="宋体" w:cs="宋体"/>
          <w:color w:val="auto"/>
          <w:kern w:val="21"/>
          <w:sz w:val="21"/>
          <w:szCs w:val="21"/>
        </w:rPr>
        <w:t>项目整体完成后7个工作日内，支付合同总价的</w:t>
      </w:r>
      <w:r>
        <w:rPr>
          <w:rFonts w:hint="eastAsia" w:ascii="宋体" w:hAnsi="宋体" w:eastAsia="宋体" w:cs="宋体"/>
          <w:color w:val="auto"/>
          <w:kern w:val="21"/>
          <w:sz w:val="21"/>
          <w:szCs w:val="21"/>
          <w:lang w:val="en-US" w:eastAsia="zh-CN"/>
        </w:rPr>
        <w:t>50</w:t>
      </w:r>
      <w:r>
        <w:rPr>
          <w:rFonts w:hint="eastAsia" w:ascii="宋体" w:hAnsi="宋体" w:eastAsia="宋体" w:cs="宋体"/>
          <w:color w:val="auto"/>
          <w:kern w:val="21"/>
          <w:sz w:val="21"/>
          <w:szCs w:val="21"/>
        </w:rPr>
        <w:t>%。</w:t>
      </w:r>
    </w:p>
    <w:p>
      <w:pPr>
        <w:widowControl w:val="0"/>
        <w:numPr>
          <w:ilvl w:val="0"/>
          <w:numId w:val="46"/>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rPr>
        <w:t>从验收合格之日起，并将归档资料移交</w:t>
      </w:r>
      <w:r>
        <w:rPr>
          <w:rFonts w:hint="eastAsia" w:ascii="宋体" w:hAnsi="宋体" w:eastAsia="宋体" w:cs="宋体"/>
          <w:color w:val="auto"/>
          <w:kern w:val="21"/>
          <w:sz w:val="21"/>
          <w:szCs w:val="21"/>
          <w:lang w:eastAsia="zh-CN"/>
        </w:rPr>
        <w:t>甲方</w:t>
      </w:r>
      <w:r>
        <w:rPr>
          <w:rFonts w:hint="eastAsia" w:ascii="宋体" w:hAnsi="宋体" w:eastAsia="宋体" w:cs="宋体"/>
          <w:color w:val="auto"/>
          <w:kern w:val="21"/>
          <w:sz w:val="21"/>
          <w:szCs w:val="21"/>
        </w:rPr>
        <w:t>后7个工作日内，支付合同总价的</w:t>
      </w:r>
      <w:r>
        <w:rPr>
          <w:rFonts w:hint="eastAsia" w:ascii="宋体" w:hAnsi="宋体" w:eastAsia="宋体" w:cs="宋体"/>
          <w:color w:val="auto"/>
          <w:kern w:val="21"/>
          <w:sz w:val="21"/>
          <w:szCs w:val="21"/>
          <w:lang w:val="en-US" w:eastAsia="zh-CN"/>
        </w:rPr>
        <w:t>20%。</w:t>
      </w:r>
    </w:p>
    <w:p>
      <w:pPr>
        <w:widowControl w:val="0"/>
        <w:numPr>
          <w:ilvl w:val="0"/>
          <w:numId w:val="46"/>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lang w:eastAsia="zh-CN"/>
        </w:rPr>
        <w:t>乙方</w:t>
      </w:r>
      <w:r>
        <w:rPr>
          <w:rFonts w:hint="eastAsia" w:ascii="宋体" w:hAnsi="宋体" w:eastAsia="宋体" w:cs="宋体"/>
          <w:color w:val="auto"/>
          <w:kern w:val="21"/>
          <w:sz w:val="21"/>
          <w:szCs w:val="21"/>
        </w:rPr>
        <w:t>凭以下有效文件与</w:t>
      </w:r>
      <w:r>
        <w:rPr>
          <w:rFonts w:hint="eastAsia" w:ascii="宋体" w:hAnsi="宋体" w:eastAsia="宋体" w:cs="宋体"/>
          <w:color w:val="auto"/>
          <w:kern w:val="21"/>
          <w:sz w:val="21"/>
          <w:szCs w:val="21"/>
          <w:lang w:eastAsia="zh-CN"/>
        </w:rPr>
        <w:t>甲方</w:t>
      </w:r>
      <w:r>
        <w:rPr>
          <w:rFonts w:hint="eastAsia" w:ascii="宋体" w:hAnsi="宋体" w:eastAsia="宋体" w:cs="宋体"/>
          <w:color w:val="auto"/>
          <w:kern w:val="21"/>
          <w:sz w:val="21"/>
          <w:szCs w:val="21"/>
        </w:rPr>
        <w:t>结算：</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（1）合同；</w:t>
      </w:r>
    </w:p>
    <w:p>
      <w:pPr>
        <w:widowControl w:val="0"/>
        <w:autoSpaceDE w:val="0"/>
        <w:autoSpaceDN w:val="0"/>
        <w:spacing w:after="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乙方</w:t>
      </w:r>
      <w:r>
        <w:rPr>
          <w:rFonts w:hint="eastAsia" w:ascii="宋体" w:hAnsi="宋体" w:eastAsia="宋体" w:cs="宋体"/>
          <w:color w:val="auto"/>
          <w:sz w:val="21"/>
          <w:szCs w:val="21"/>
        </w:rPr>
        <w:t>开具的正式发票；</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（3）试点工作材料总结（加盖</w:t>
      </w:r>
      <w:r>
        <w:rPr>
          <w:rFonts w:hint="eastAsia" w:ascii="宋体" w:hAnsi="宋体" w:eastAsia="宋体" w:cs="宋体"/>
          <w:color w:val="auto"/>
          <w:sz w:val="21"/>
          <w:szCs w:val="21"/>
          <w:lang w:eastAsia="zh-CN"/>
        </w:rPr>
        <w:t>甲方</w:t>
      </w:r>
      <w:r>
        <w:rPr>
          <w:rFonts w:hint="eastAsia" w:ascii="宋体" w:hAnsi="宋体" w:eastAsia="宋体" w:cs="宋体"/>
          <w:color w:val="auto"/>
          <w:sz w:val="21"/>
          <w:szCs w:val="21"/>
        </w:rPr>
        <w:t>公章）；</w:t>
      </w:r>
    </w:p>
    <w:p>
      <w:pPr>
        <w:widowControl w:val="0"/>
        <w:autoSpaceDE w:val="0"/>
        <w:autoSpaceDN w:val="0"/>
        <w:spacing w:after="0" w:line="360" w:lineRule="auto"/>
        <w:ind w:firstLine="420" w:firstLineChars="200"/>
        <w:rPr>
          <w:rFonts w:ascii="宋体" w:hAnsi="宋体" w:eastAsia="宋体" w:cs="宋体"/>
          <w:b/>
          <w:color w:val="auto"/>
        </w:rPr>
      </w:pPr>
      <w:r>
        <w:rPr>
          <w:rFonts w:hint="eastAsia" w:ascii="宋体" w:hAnsi="宋体" w:eastAsia="宋体" w:cs="宋体"/>
          <w:color w:val="auto"/>
          <w:sz w:val="21"/>
          <w:szCs w:val="21"/>
        </w:rPr>
        <w:t>（4）成交通知书。</w:t>
      </w:r>
      <w:r>
        <w:rPr>
          <w:rFonts w:hint="eastAsia" w:ascii="宋体" w:hAnsi="宋体" w:eastAsia="宋体" w:cs="宋体"/>
          <w:b/>
          <w:color w:val="auto"/>
          <w:sz w:val="21"/>
          <w:szCs w:val="21"/>
        </w:rPr>
        <w:tab/>
      </w:r>
    </w:p>
    <w:p>
      <w:pPr>
        <w:widowControl w:val="0"/>
        <w:numPr>
          <w:ilvl w:val="0"/>
          <w:numId w:val="46"/>
        </w:numPr>
        <w:autoSpaceDE w:val="0"/>
        <w:autoSpaceDN w:val="0"/>
        <w:spacing w:after="0" w:line="360" w:lineRule="auto"/>
        <w:ind w:left="0" w:firstLine="420" w:firstLineChars="200"/>
        <w:rPr>
          <w:rFonts w:hint="eastAsia" w:ascii="宋体" w:hAnsi="宋体" w:eastAsia="宋体" w:cs="宋体"/>
          <w:color w:val="auto"/>
          <w:kern w:val="21"/>
          <w:sz w:val="21"/>
          <w:szCs w:val="21"/>
        </w:rPr>
      </w:pPr>
      <w:r>
        <w:rPr>
          <w:rFonts w:hint="eastAsia" w:ascii="宋体" w:hAnsi="宋体" w:eastAsia="宋体" w:cs="宋体"/>
          <w:color w:val="auto"/>
          <w:kern w:val="21"/>
          <w:sz w:val="21"/>
          <w:szCs w:val="21"/>
          <w:lang w:val="en-US" w:eastAsia="zh-CN"/>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r>
        <w:rPr>
          <w:rFonts w:hint="eastAsia" w:ascii="宋体" w:hAnsi="宋体" w:eastAsia="宋体" w:cs="宋体"/>
          <w:color w:val="auto"/>
          <w:kern w:val="21"/>
          <w:sz w:val="21"/>
          <w:szCs w:val="21"/>
        </w:rPr>
        <w:t>。</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bookmarkStart w:id="24" w:name="_Toc435540767"/>
      <w:r>
        <w:rPr>
          <w:rFonts w:hint="eastAsia" w:ascii="宋体" w:hAnsi="宋体" w:eastAsia="宋体" w:cs="宋体"/>
          <w:b/>
          <w:color w:val="auto"/>
          <w:sz w:val="21"/>
          <w:szCs w:val="21"/>
        </w:rPr>
        <w:t>争端的解决</w:t>
      </w:r>
      <w:bookmarkEnd w:id="24"/>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合同执行过程中发生的任何争议，如双方不能通过友好协商解决，甲、乙双方一致同意向甲方所在地人民法院提起诉讼。</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bookmarkStart w:id="25" w:name="_Toc435540768"/>
      <w:r>
        <w:rPr>
          <w:rFonts w:hint="eastAsia" w:ascii="宋体" w:hAnsi="宋体" w:eastAsia="宋体" w:cs="宋体"/>
          <w:b/>
          <w:color w:val="auto"/>
          <w:sz w:val="21"/>
          <w:szCs w:val="21"/>
        </w:rPr>
        <w:t>不可抗力</w:t>
      </w:r>
      <w:bookmarkEnd w:id="25"/>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任何一方由于不可抗力原因不能履行合同时，应在不可抗力事件结束后1个工作日内向对方通报，以减轻可能给对方造成的损失，在取得有关机构的不可抗力证明或双方谅解确认后，允许延期履行或修订合同，并根据情况可部分或全部免于承担违约责任。</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bookmarkStart w:id="26" w:name="_Toc435540769"/>
      <w:r>
        <w:rPr>
          <w:rFonts w:hint="eastAsia" w:ascii="宋体" w:hAnsi="宋体" w:eastAsia="宋体" w:cs="宋体"/>
          <w:b/>
          <w:color w:val="auto"/>
          <w:sz w:val="21"/>
          <w:szCs w:val="21"/>
        </w:rPr>
        <w:t>税费</w:t>
      </w:r>
      <w:bookmarkEnd w:id="26"/>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在中国境内、外发生的与本合同执行有关的一切税费均由乙方负担。</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bookmarkStart w:id="27" w:name="_Toc435540770"/>
      <w:r>
        <w:rPr>
          <w:rFonts w:hint="eastAsia" w:ascii="宋体" w:hAnsi="宋体" w:eastAsia="宋体" w:cs="宋体"/>
          <w:b/>
          <w:color w:val="auto"/>
          <w:sz w:val="21"/>
          <w:szCs w:val="21"/>
        </w:rPr>
        <w:t>其它</w:t>
      </w:r>
      <w:bookmarkEnd w:id="27"/>
    </w:p>
    <w:p>
      <w:pPr>
        <w:widowControl w:val="0"/>
        <w:numPr>
          <w:ilvl w:val="0"/>
          <w:numId w:val="47"/>
        </w:numPr>
        <w:autoSpaceDE w:val="0"/>
        <w:autoSpaceDN w:val="0"/>
        <w:spacing w:after="0" w:line="360" w:lineRule="auto"/>
        <w:ind w:left="0" w:firstLine="425"/>
        <w:rPr>
          <w:rFonts w:ascii="宋体" w:hAnsi="宋体" w:eastAsia="宋体" w:cs="宋体"/>
          <w:color w:val="auto"/>
          <w:sz w:val="21"/>
          <w:szCs w:val="21"/>
        </w:rPr>
      </w:pPr>
      <w:r>
        <w:rPr>
          <w:rFonts w:hint="eastAsia" w:ascii="宋体" w:hAnsi="宋体" w:eastAsia="宋体" w:cs="宋体"/>
          <w:color w:val="auto"/>
          <w:sz w:val="21"/>
          <w:szCs w:val="21"/>
        </w:rPr>
        <w:t>本合同所有附件、磋商文件、响应文件、中标通知书均为合同的有效组成部分，与本合同具有同等法律效力。</w:t>
      </w:r>
    </w:p>
    <w:p>
      <w:pPr>
        <w:widowControl w:val="0"/>
        <w:numPr>
          <w:ilvl w:val="0"/>
          <w:numId w:val="47"/>
        </w:numPr>
        <w:autoSpaceDE w:val="0"/>
        <w:autoSpaceDN w:val="0"/>
        <w:spacing w:after="0" w:line="360" w:lineRule="auto"/>
        <w:ind w:left="0" w:firstLine="425"/>
        <w:rPr>
          <w:rFonts w:ascii="宋体" w:hAnsi="宋体" w:eastAsia="宋体" w:cs="宋体"/>
          <w:color w:val="auto"/>
        </w:rPr>
      </w:pPr>
      <w:r>
        <w:rPr>
          <w:rFonts w:hint="eastAsia" w:ascii="宋体" w:hAnsi="宋体" w:eastAsia="宋体" w:cs="宋体"/>
          <w:color w:val="auto"/>
          <w:sz w:val="21"/>
          <w:szCs w:val="21"/>
        </w:rPr>
        <w:t>在执行本合同的过程中，所有经双方签署确认的文件（包括会议纪要、补充协议、往来信函）即成为本合同的有效组成部分。</w:t>
      </w:r>
    </w:p>
    <w:p>
      <w:pPr>
        <w:widowControl w:val="0"/>
        <w:numPr>
          <w:ilvl w:val="0"/>
          <w:numId w:val="47"/>
        </w:numPr>
        <w:autoSpaceDE w:val="0"/>
        <w:autoSpaceDN w:val="0"/>
        <w:spacing w:after="0" w:line="360" w:lineRule="auto"/>
        <w:ind w:left="0" w:firstLine="425"/>
        <w:rPr>
          <w:rFonts w:ascii="宋体" w:hAnsi="宋体" w:eastAsia="宋体" w:cs="宋体"/>
          <w:color w:val="auto"/>
        </w:rPr>
      </w:pPr>
      <w:r>
        <w:rPr>
          <w:rFonts w:hint="eastAsia" w:ascii="宋体" w:hAnsi="宋体" w:eastAsia="宋体" w:cs="宋体"/>
          <w:color w:val="auto"/>
          <w:sz w:val="21"/>
          <w:szCs w:val="21"/>
        </w:rPr>
        <w:t xml:space="preserve">如一方地址、电话、传真号码有变更，应在变更当日内书面通知对方，否则，应承担相应责任。 </w:t>
      </w:r>
    </w:p>
    <w:p>
      <w:pPr>
        <w:widowControl w:val="0"/>
        <w:numPr>
          <w:ilvl w:val="0"/>
          <w:numId w:val="47"/>
        </w:numPr>
        <w:autoSpaceDE w:val="0"/>
        <w:autoSpaceDN w:val="0"/>
        <w:spacing w:after="0" w:line="360" w:lineRule="auto"/>
        <w:ind w:left="0" w:firstLine="425"/>
        <w:rPr>
          <w:rFonts w:ascii="宋体" w:hAnsi="宋体" w:eastAsia="宋体" w:cs="宋体"/>
          <w:color w:val="auto"/>
        </w:rPr>
      </w:pPr>
      <w:r>
        <w:rPr>
          <w:rFonts w:hint="eastAsia" w:ascii="宋体" w:hAnsi="宋体" w:eastAsia="宋体" w:cs="宋体"/>
          <w:color w:val="auto"/>
          <w:sz w:val="21"/>
          <w:szCs w:val="21"/>
        </w:rPr>
        <w:t>除甲方事先书面同意外，乙方不得部分或全部转让其应履行的合同项下的义务。</w:t>
      </w:r>
    </w:p>
    <w:p>
      <w:pPr>
        <w:widowControl w:val="0"/>
        <w:numPr>
          <w:ilvl w:val="0"/>
          <w:numId w:val="36"/>
        </w:numPr>
        <w:tabs>
          <w:tab w:val="left" w:pos="426"/>
          <w:tab w:val="clear" w:pos="420"/>
        </w:tabs>
        <w:autoSpaceDE w:val="0"/>
        <w:autoSpaceDN w:val="0"/>
        <w:spacing w:after="0" w:line="360" w:lineRule="auto"/>
        <w:ind w:left="443" w:hanging="443" w:hangingChars="210"/>
        <w:outlineLvl w:val="2"/>
        <w:rPr>
          <w:rFonts w:ascii="宋体" w:hAnsi="宋体" w:eastAsia="宋体" w:cs="宋体"/>
          <w:b/>
          <w:color w:val="auto"/>
        </w:rPr>
      </w:pPr>
      <w:bookmarkStart w:id="28" w:name="_Toc435540771"/>
      <w:r>
        <w:rPr>
          <w:rFonts w:hint="eastAsia" w:ascii="宋体" w:hAnsi="宋体" w:eastAsia="宋体" w:cs="宋体"/>
          <w:b/>
          <w:color w:val="auto"/>
          <w:sz w:val="21"/>
          <w:szCs w:val="21"/>
        </w:rPr>
        <w:t>合同生效</w:t>
      </w:r>
      <w:bookmarkEnd w:id="28"/>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1）合同自甲乙双方法人代表或其授权代表签字盖章之日起生效。</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2）合同壹式份，其中甲乙双方各执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份，采购代理机构执</w:t>
      </w:r>
      <w:r>
        <w:rPr>
          <w:rFonts w:hint="eastAsia" w:ascii="宋体" w:hAnsi="宋体" w:eastAsia="宋体" w:cs="宋体"/>
          <w:color w:val="auto"/>
          <w:sz w:val="21"/>
          <w:szCs w:val="21"/>
          <w:u w:val="single"/>
        </w:rPr>
        <w:t>壹</w:t>
      </w:r>
      <w:r>
        <w:rPr>
          <w:rFonts w:hint="eastAsia" w:ascii="宋体" w:hAnsi="宋体" w:eastAsia="宋体" w:cs="宋体"/>
          <w:color w:val="auto"/>
          <w:sz w:val="21"/>
          <w:szCs w:val="21"/>
        </w:rPr>
        <w:t>份，政府采购监督管理部门</w:t>
      </w:r>
      <w:r>
        <w:rPr>
          <w:rFonts w:hint="eastAsia" w:ascii="宋体" w:hAnsi="宋体" w:eastAsia="宋体" w:cs="宋体"/>
          <w:color w:val="auto"/>
          <w:sz w:val="21"/>
          <w:szCs w:val="21"/>
          <w:u w:val="single"/>
        </w:rPr>
        <w:t>壹</w:t>
      </w:r>
      <w:r>
        <w:rPr>
          <w:rFonts w:hint="eastAsia" w:ascii="宋体" w:hAnsi="宋体" w:eastAsia="宋体" w:cs="宋体"/>
          <w:color w:val="auto"/>
          <w:sz w:val="21"/>
          <w:szCs w:val="21"/>
        </w:rPr>
        <w:t>份。</w:t>
      </w:r>
    </w:p>
    <w:p>
      <w:pPr>
        <w:rPr>
          <w:rFonts w:ascii="宋体" w:hAnsi="宋体" w:eastAsia="宋体" w:cs="宋体"/>
          <w:color w:val="auto"/>
          <w:sz w:val="21"/>
          <w:szCs w:val="21"/>
        </w:rPr>
      </w:pPr>
    </w:p>
    <w:p>
      <w:pPr>
        <w:rPr>
          <w:rFonts w:ascii="宋体" w:hAnsi="宋体" w:eastAsia="宋体" w:cs="宋体"/>
          <w:color w:val="auto"/>
        </w:rPr>
      </w:pPr>
      <w:r>
        <w:rPr>
          <w:rFonts w:hint="eastAsia" w:ascii="宋体" w:hAnsi="宋体" w:eastAsia="宋体" w:cs="宋体"/>
          <w:color w:val="auto"/>
          <w:sz w:val="21"/>
          <w:szCs w:val="21"/>
        </w:rPr>
        <w:t>甲方（盖章）：                          乙方（盖章）：</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 xml:space="preserve">代表：                                  代表：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签定地点：</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 xml:space="preserve">签定日期：        年     月    日       签定日期：        年     月     日    </w:t>
      </w:r>
    </w:p>
    <w:p>
      <w:pPr>
        <w:widowControl w:val="0"/>
        <w:autoSpaceDE w:val="0"/>
        <w:autoSpaceDN w:val="0"/>
        <w:spacing w:after="0" w:line="360" w:lineRule="auto"/>
        <w:ind w:firstLine="4200" w:firstLineChars="2000"/>
        <w:rPr>
          <w:rFonts w:ascii="宋体" w:hAnsi="宋体" w:eastAsia="宋体" w:cs="宋体"/>
          <w:color w:val="auto"/>
        </w:rPr>
      </w:pPr>
      <w:r>
        <w:rPr>
          <w:rFonts w:hint="eastAsia" w:ascii="宋体" w:hAnsi="宋体" w:eastAsia="宋体" w:cs="宋体"/>
          <w:color w:val="auto"/>
          <w:sz w:val="21"/>
          <w:szCs w:val="21"/>
        </w:rPr>
        <w:t>纳税人识别号：</w:t>
      </w:r>
    </w:p>
    <w:p>
      <w:pPr>
        <w:widowControl w:val="0"/>
        <w:autoSpaceDE w:val="0"/>
        <w:autoSpaceDN w:val="0"/>
        <w:spacing w:after="0" w:line="360" w:lineRule="auto"/>
        <w:ind w:firstLine="4200" w:firstLineChars="2000"/>
        <w:rPr>
          <w:rFonts w:ascii="宋体" w:hAnsi="宋体" w:eastAsia="宋体" w:cs="宋体"/>
          <w:color w:val="auto"/>
        </w:rPr>
      </w:pPr>
      <w:r>
        <w:rPr>
          <w:rFonts w:hint="eastAsia" w:ascii="宋体" w:hAnsi="宋体" w:eastAsia="宋体" w:cs="宋体"/>
          <w:color w:val="auto"/>
          <w:sz w:val="21"/>
          <w:szCs w:val="21"/>
        </w:rPr>
        <w:t>开户名称：</w:t>
      </w:r>
    </w:p>
    <w:p>
      <w:pPr>
        <w:widowControl w:val="0"/>
        <w:autoSpaceDE w:val="0"/>
        <w:autoSpaceDN w:val="0"/>
        <w:spacing w:after="0" w:line="360" w:lineRule="auto"/>
        <w:ind w:firstLine="4200" w:firstLineChars="2000"/>
        <w:rPr>
          <w:rFonts w:ascii="宋体" w:hAnsi="宋体" w:eastAsia="宋体" w:cs="宋体"/>
          <w:color w:val="auto"/>
        </w:rPr>
      </w:pPr>
      <w:r>
        <w:rPr>
          <w:rFonts w:hint="eastAsia" w:ascii="宋体" w:hAnsi="宋体" w:eastAsia="宋体" w:cs="宋体"/>
          <w:color w:val="auto"/>
          <w:sz w:val="21"/>
          <w:szCs w:val="21"/>
        </w:rPr>
        <w:t>银行账号：</w:t>
      </w:r>
    </w:p>
    <w:p>
      <w:pPr>
        <w:widowControl w:val="0"/>
        <w:autoSpaceDE w:val="0"/>
        <w:autoSpaceDN w:val="0"/>
        <w:spacing w:after="0" w:line="360" w:lineRule="auto"/>
        <w:ind w:firstLine="4200" w:firstLineChars="2000"/>
        <w:rPr>
          <w:rFonts w:ascii="宋体" w:hAnsi="宋体" w:eastAsia="宋体" w:cs="宋体"/>
          <w:color w:val="auto"/>
        </w:rPr>
      </w:pPr>
      <w:r>
        <w:rPr>
          <w:rFonts w:hint="eastAsia" w:ascii="宋体" w:hAnsi="宋体" w:eastAsia="宋体" w:cs="宋体"/>
          <w:color w:val="auto"/>
          <w:sz w:val="21"/>
          <w:szCs w:val="21"/>
        </w:rPr>
        <w:t>开 户 行：</w:t>
      </w:r>
    </w:p>
    <w:p>
      <w:pPr>
        <w:pStyle w:val="19"/>
        <w:widowControl/>
        <w:rPr>
          <w:rFonts w:ascii="宋体" w:hAnsi="宋体" w:cs="宋体"/>
          <w:b w:val="0"/>
          <w:color w:val="auto"/>
          <w:sz w:val="28"/>
        </w:rPr>
      </w:pPr>
      <w:r>
        <w:rPr>
          <w:rFonts w:hint="eastAsia" w:ascii="宋体" w:hAnsi="宋体"/>
          <w:color w:val="auto"/>
          <w:sz w:val="21"/>
          <w:szCs w:val="21"/>
        </w:rPr>
        <w:br w:type="page"/>
      </w:r>
      <w:bookmarkStart w:id="29" w:name="_Toc410736175"/>
      <w:bookmarkStart w:id="30" w:name="_Toc416770251"/>
      <w:bookmarkStart w:id="31" w:name="_Toc19953"/>
      <w:bookmarkStart w:id="32" w:name="_Toc410738974"/>
      <w:bookmarkStart w:id="33" w:name="_Toc379872472"/>
      <w:bookmarkStart w:id="34" w:name="_Toc416771361"/>
      <w:r>
        <w:rPr>
          <w:rFonts w:hint="eastAsia" w:cs="宋体"/>
          <w:color w:val="auto"/>
        </w:rPr>
        <w:t>第六章</w:t>
      </w:r>
      <w:r>
        <w:rPr>
          <w:color w:val="auto"/>
        </w:rPr>
        <w:t xml:space="preserve">  </w:t>
      </w:r>
      <w:r>
        <w:rPr>
          <w:rFonts w:hint="eastAsia" w:cs="宋体"/>
          <w:color w:val="auto"/>
        </w:rPr>
        <w:t>响应文件格式</w:t>
      </w:r>
      <w:bookmarkEnd w:id="29"/>
      <w:bookmarkEnd w:id="30"/>
      <w:bookmarkEnd w:id="31"/>
      <w:bookmarkEnd w:id="32"/>
      <w:bookmarkEnd w:id="33"/>
      <w:bookmarkEnd w:id="34"/>
    </w:p>
    <w:p>
      <w:pPr>
        <w:pStyle w:val="2"/>
        <w:widowControl/>
        <w:adjustRightInd w:val="0"/>
        <w:spacing w:beforeLines="50" w:afterLines="50" w:line="360" w:lineRule="auto"/>
        <w:jc w:val="center"/>
        <w:rPr>
          <w:b w:val="0"/>
          <w:bCs/>
          <w:color w:val="auto"/>
        </w:rPr>
      </w:pPr>
      <w:bookmarkStart w:id="35" w:name="_Toc410736176"/>
      <w:bookmarkStart w:id="36" w:name="_Toc416771362"/>
      <w:bookmarkStart w:id="37" w:name="_Toc416770252"/>
      <w:bookmarkStart w:id="38" w:name="_Toc410738975"/>
      <w:bookmarkStart w:id="39" w:name="_Toc275865604"/>
      <w:r>
        <w:rPr>
          <w:rFonts w:hint="eastAsia" w:cs="黑体"/>
          <w:b w:val="0"/>
          <w:bCs/>
          <w:color w:val="auto"/>
        </w:rPr>
        <w:t>包装封面参考</w:t>
      </w:r>
      <w:bookmarkEnd w:id="35"/>
      <w:bookmarkEnd w:id="36"/>
      <w:bookmarkEnd w:id="37"/>
      <w:bookmarkEnd w:id="38"/>
    </w:p>
    <w:tbl>
      <w:tblPr>
        <w:tblStyle w:val="21"/>
        <w:tblW w:w="9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7" w:hRule="atLeast"/>
        </w:trPr>
        <w:tc>
          <w:tcPr>
            <w:tcW w:w="9657" w:type="dxa"/>
            <w:tcBorders>
              <w:top w:val="single" w:color="auto" w:sz="4" w:space="0"/>
              <w:left w:val="single" w:color="auto" w:sz="4" w:space="0"/>
              <w:bottom w:val="single" w:color="auto" w:sz="4" w:space="0"/>
              <w:right w:val="single" w:color="auto" w:sz="4" w:space="0"/>
            </w:tcBorders>
            <w:shd w:val="clear" w:color="auto" w:fill="auto"/>
          </w:tcPr>
          <w:p>
            <w:pPr>
              <w:pStyle w:val="6"/>
              <w:widowControl/>
              <w:spacing w:line="360" w:lineRule="auto"/>
              <w:ind w:firstLine="482" w:firstLineChars="150"/>
              <w:rPr>
                <w:rFonts w:ascii="仿宋_GB2312" w:eastAsia="仿宋_GB2312" w:cs="仿宋_GB2312"/>
                <w:b/>
                <w:color w:val="auto"/>
                <w:sz w:val="32"/>
              </w:rPr>
            </w:pPr>
          </w:p>
          <w:p>
            <w:pPr>
              <w:pStyle w:val="6"/>
              <w:widowControl/>
              <w:spacing w:line="360" w:lineRule="auto"/>
              <w:ind w:firstLine="482" w:firstLineChars="150"/>
              <w:rPr>
                <w:rFonts w:ascii="仿宋_GB2312" w:eastAsia="仿宋_GB2312" w:cs="仿宋_GB2312"/>
                <w:b/>
                <w:color w:val="auto"/>
                <w:sz w:val="32"/>
              </w:rPr>
            </w:pPr>
          </w:p>
          <w:p>
            <w:pPr>
              <w:pStyle w:val="6"/>
              <w:widowControl/>
              <w:spacing w:line="360" w:lineRule="auto"/>
              <w:jc w:val="center"/>
              <w:rPr>
                <w:rFonts w:ascii="黑体" w:eastAsia="黑体" w:cs="黑体"/>
                <w:b/>
                <w:color w:val="auto"/>
                <w:sz w:val="72"/>
                <w:szCs w:val="72"/>
              </w:rPr>
            </w:pPr>
            <w:r>
              <w:rPr>
                <w:rFonts w:hint="eastAsia" w:ascii="黑体" w:eastAsia="黑体" w:cs="黑体"/>
                <w:b/>
                <w:color w:val="auto"/>
                <w:sz w:val="72"/>
                <w:szCs w:val="72"/>
              </w:rPr>
              <w:t>响 应 文 件</w:t>
            </w:r>
          </w:p>
          <w:p>
            <w:pPr>
              <w:pStyle w:val="6"/>
              <w:widowControl/>
              <w:spacing w:line="360" w:lineRule="auto"/>
              <w:jc w:val="center"/>
              <w:rPr>
                <w:rFonts w:ascii="黑体" w:eastAsia="黑体" w:cs="黑体"/>
                <w:b/>
                <w:color w:val="auto"/>
                <w:sz w:val="32"/>
              </w:rPr>
            </w:pPr>
            <w:r>
              <w:rPr>
                <w:rFonts w:hint="eastAsia" w:ascii="黑体" w:eastAsia="黑体" w:cs="黑体"/>
                <w:b/>
                <w:color w:val="auto"/>
                <w:sz w:val="52"/>
                <w:szCs w:val="52"/>
              </w:rPr>
              <w:t xml:space="preserve">口 </w:t>
            </w:r>
            <w:r>
              <w:rPr>
                <w:rFonts w:hint="eastAsia" w:ascii="黑体" w:eastAsia="黑体" w:cs="黑体"/>
                <w:b/>
                <w:color w:val="auto"/>
                <w:sz w:val="32"/>
              </w:rPr>
              <w:t>报价信封</w:t>
            </w:r>
          </w:p>
          <w:p>
            <w:pPr>
              <w:pStyle w:val="6"/>
              <w:widowControl/>
              <w:spacing w:line="360" w:lineRule="auto"/>
              <w:ind w:firstLine="3654" w:firstLineChars="700"/>
              <w:rPr>
                <w:rFonts w:ascii="黑体" w:eastAsia="黑体" w:cs="黑体"/>
                <w:b/>
                <w:color w:val="auto"/>
                <w:sz w:val="32"/>
              </w:rPr>
            </w:pPr>
            <w:r>
              <w:rPr>
                <w:rFonts w:hint="eastAsia" w:ascii="黑体" w:eastAsia="黑体" w:cs="黑体"/>
                <w:b/>
                <w:color w:val="auto"/>
                <w:sz w:val="52"/>
                <w:szCs w:val="52"/>
              </w:rPr>
              <w:t xml:space="preserve">口 </w:t>
            </w:r>
            <w:r>
              <w:rPr>
                <w:rFonts w:hint="eastAsia" w:ascii="黑体" w:eastAsia="黑体" w:cs="黑体"/>
                <w:b/>
                <w:color w:val="auto"/>
                <w:sz w:val="32"/>
              </w:rPr>
              <w:t>正本</w:t>
            </w:r>
          </w:p>
          <w:p>
            <w:pPr>
              <w:pStyle w:val="6"/>
              <w:widowControl/>
              <w:spacing w:line="360" w:lineRule="auto"/>
              <w:ind w:firstLine="3654" w:firstLineChars="700"/>
              <w:rPr>
                <w:rFonts w:ascii="黑体" w:eastAsia="黑体" w:cs="黑体"/>
                <w:b/>
                <w:color w:val="auto"/>
                <w:sz w:val="32"/>
              </w:rPr>
            </w:pPr>
            <w:r>
              <w:rPr>
                <w:rFonts w:hint="eastAsia" w:ascii="黑体" w:eastAsia="黑体" w:cs="黑体"/>
                <w:b/>
                <w:color w:val="auto"/>
                <w:sz w:val="52"/>
                <w:szCs w:val="52"/>
              </w:rPr>
              <w:t xml:space="preserve">口 </w:t>
            </w:r>
            <w:r>
              <w:rPr>
                <w:rFonts w:hint="eastAsia" w:ascii="黑体" w:eastAsia="黑体" w:cs="黑体"/>
                <w:b/>
                <w:color w:val="auto"/>
                <w:sz w:val="32"/>
              </w:rPr>
              <w:t>副本</w:t>
            </w:r>
          </w:p>
          <w:p>
            <w:pPr>
              <w:pStyle w:val="6"/>
              <w:widowControl/>
              <w:spacing w:line="360" w:lineRule="auto"/>
              <w:rPr>
                <w:rFonts w:ascii="仿宋_GB2312" w:eastAsia="仿宋_GB2312" w:cs="仿宋_GB2312"/>
                <w:b/>
                <w:color w:val="auto"/>
                <w:sz w:val="32"/>
              </w:rPr>
            </w:pPr>
          </w:p>
          <w:p>
            <w:pPr>
              <w:pStyle w:val="6"/>
              <w:widowControl/>
              <w:spacing w:line="360" w:lineRule="auto"/>
              <w:rPr>
                <w:rFonts w:ascii="仿宋_GB2312" w:eastAsia="仿宋_GB2312" w:cs="仿宋_GB2312"/>
                <w:b/>
                <w:color w:val="auto"/>
                <w:sz w:val="32"/>
              </w:rPr>
            </w:pPr>
          </w:p>
          <w:p>
            <w:pPr>
              <w:pStyle w:val="6"/>
              <w:widowControl/>
              <w:spacing w:line="400" w:lineRule="exact"/>
              <w:ind w:firstLine="1037" w:firstLineChars="369"/>
              <w:rPr>
                <w:rFonts w:ascii="仿宋_GB2312" w:eastAsia="仿宋_GB2312" w:cs="仿宋_GB2312"/>
                <w:b/>
                <w:color w:val="auto"/>
                <w:sz w:val="28"/>
                <w:szCs w:val="28"/>
              </w:rPr>
            </w:pPr>
            <w:r>
              <w:rPr>
                <w:rFonts w:hint="eastAsia" w:ascii="仿宋_GB2312" w:eastAsia="仿宋_GB2312" w:cs="仿宋_GB2312"/>
                <w:b/>
                <w:color w:val="auto"/>
                <w:sz w:val="28"/>
                <w:szCs w:val="28"/>
              </w:rPr>
              <w:t>项目编号：GZGX20GZ00ZC-33</w:t>
            </w:r>
          </w:p>
          <w:p>
            <w:pPr>
              <w:pStyle w:val="6"/>
              <w:widowControl/>
              <w:spacing w:line="400" w:lineRule="exact"/>
              <w:ind w:firstLine="1037" w:firstLineChars="369"/>
              <w:rPr>
                <w:rFonts w:ascii="仿宋_GB2312" w:eastAsia="仿宋_GB2312" w:cs="仿宋_GB2312"/>
                <w:b/>
                <w:color w:val="auto"/>
                <w:sz w:val="28"/>
                <w:szCs w:val="28"/>
              </w:rPr>
            </w:pPr>
            <w:r>
              <w:rPr>
                <w:rFonts w:hint="eastAsia" w:ascii="仿宋_GB2312" w:eastAsia="仿宋_GB2312" w:cs="仿宋_GB2312"/>
                <w:b/>
                <w:color w:val="auto"/>
                <w:sz w:val="28"/>
                <w:szCs w:val="28"/>
              </w:rPr>
              <w:t>项目名称：白云区消防救援大队大源村消防安全综合治理项目</w:t>
            </w:r>
          </w:p>
          <w:p>
            <w:pPr>
              <w:pStyle w:val="6"/>
              <w:widowControl/>
              <w:spacing w:line="400" w:lineRule="exact"/>
              <w:ind w:firstLine="1037" w:firstLineChars="369"/>
              <w:rPr>
                <w:rFonts w:ascii="仿宋_GB2312" w:eastAsia="仿宋_GB2312" w:cs="仿宋_GB2312"/>
                <w:b/>
                <w:color w:val="auto"/>
                <w:sz w:val="28"/>
                <w:szCs w:val="28"/>
              </w:rPr>
            </w:pPr>
            <w:r>
              <w:rPr>
                <w:rFonts w:hint="eastAsia" w:ascii="仿宋_GB2312" w:eastAsia="仿宋_GB2312" w:cs="仿宋_GB2312"/>
                <w:b/>
                <w:color w:val="auto"/>
                <w:sz w:val="28"/>
                <w:szCs w:val="28"/>
              </w:rPr>
              <w:t>响应供应商名称：</w:t>
            </w:r>
          </w:p>
          <w:p>
            <w:pPr>
              <w:pStyle w:val="6"/>
              <w:widowControl/>
              <w:spacing w:line="400" w:lineRule="exact"/>
              <w:ind w:firstLine="1037" w:firstLineChars="369"/>
              <w:rPr>
                <w:rFonts w:ascii="仿宋_GB2312" w:eastAsia="仿宋_GB2312" w:cs="仿宋_GB2312"/>
                <w:b/>
                <w:color w:val="auto"/>
                <w:sz w:val="32"/>
              </w:rPr>
            </w:pPr>
            <w:r>
              <w:rPr>
                <w:rFonts w:hint="eastAsia" w:ascii="仿宋_GB2312" w:eastAsia="仿宋_GB2312" w:cs="仿宋_GB2312"/>
                <w:b/>
                <w:color w:val="auto"/>
                <w:sz w:val="28"/>
                <w:szCs w:val="28"/>
              </w:rPr>
              <w:t>响应供应商地址：</w:t>
            </w:r>
          </w:p>
        </w:tc>
      </w:tr>
    </w:tbl>
    <w:p>
      <w:pPr>
        <w:spacing w:line="360" w:lineRule="auto"/>
        <w:rPr>
          <w:rFonts w:ascii="Arial" w:hAnsi="Arial" w:eastAsia="黑体" w:cs="Times New Roman"/>
          <w:bCs/>
          <w:color w:val="auto"/>
          <w:sz w:val="32"/>
          <w:szCs w:val="32"/>
        </w:rPr>
        <w:sectPr>
          <w:pgSz w:w="11915" w:h="16839"/>
          <w:pgMar w:top="97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rFonts w:ascii="黑体" w:hAnsi="宋体" w:cs="黑体"/>
          <w:b w:val="0"/>
          <w:bCs/>
          <w:color w:val="auto"/>
          <w:sz w:val="18"/>
          <w:szCs w:val="18"/>
        </w:rPr>
      </w:pPr>
      <w:bookmarkStart w:id="40" w:name="_Toc416770253"/>
      <w:bookmarkStart w:id="41" w:name="_Toc410738976"/>
      <w:bookmarkStart w:id="42" w:name="_Toc410736177"/>
      <w:bookmarkStart w:id="43" w:name="_Toc416771363"/>
      <w:r>
        <w:rPr>
          <w:rFonts w:hint="eastAsia" w:cs="黑体"/>
          <w:b w:val="0"/>
          <w:bCs/>
          <w:color w:val="auto"/>
        </w:rPr>
        <w:t>响应文件目录表</w:t>
      </w:r>
      <w:bookmarkEnd w:id="39"/>
      <w:bookmarkEnd w:id="40"/>
      <w:bookmarkEnd w:id="41"/>
      <w:bookmarkEnd w:id="42"/>
      <w:bookmarkEnd w:id="43"/>
    </w:p>
    <w:p>
      <w:pPr>
        <w:widowControl w:val="0"/>
        <w:autoSpaceDE w:val="0"/>
        <w:autoSpaceDN w:val="0"/>
        <w:spacing w:after="0"/>
        <w:rPr>
          <w:rFonts w:ascii="宋体" w:hAnsi="宋体" w:eastAsia="宋体" w:cs="宋体"/>
          <w:b/>
          <w:color w:val="auto"/>
        </w:rPr>
      </w:pPr>
      <w:r>
        <w:rPr>
          <w:rFonts w:hint="eastAsia" w:ascii="宋体" w:hAnsi="宋体" w:eastAsia="宋体" w:cs="宋体"/>
          <w:color w:val="auto"/>
          <w:sz w:val="21"/>
          <w:szCs w:val="21"/>
        </w:rPr>
        <w:t xml:space="preserve">项目编号：GZGX20GZ00ZC-33 </w:t>
      </w:r>
    </w:p>
    <w:tbl>
      <w:tblPr>
        <w:tblStyle w:val="21"/>
        <w:tblW w:w="95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4"/>
        <w:gridCol w:w="5904"/>
        <w:gridCol w:w="551"/>
        <w:gridCol w:w="518"/>
        <w:gridCol w:w="994"/>
        <w:gridCol w:w="8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03" w:hRule="atLeast"/>
        </w:trPr>
        <w:tc>
          <w:tcPr>
            <w:tcW w:w="674" w:type="dxa"/>
            <w:vMerge w:val="restart"/>
            <w:tcBorders>
              <w:top w:val="single" w:color="auto" w:sz="12" w:space="0"/>
              <w:left w:val="single" w:color="auto" w:sz="12" w:space="0"/>
              <w:bottom w:val="single" w:color="auto" w:sz="6" w:space="0"/>
              <w:right w:val="single" w:color="auto" w:sz="6" w:space="0"/>
            </w:tcBorders>
            <w:shd w:val="clear" w:color="auto" w:fill="EEECE1"/>
            <w:vAlign w:val="center"/>
          </w:tcPr>
          <w:p>
            <w:pPr>
              <w:widowControl w:val="0"/>
              <w:autoSpaceDE w:val="0"/>
              <w:autoSpaceDN w:val="0"/>
              <w:spacing w:after="0"/>
              <w:ind w:left="-92" w:leftChars="-42" w:right="-86" w:rightChars="-39"/>
              <w:jc w:val="center"/>
              <w:rPr>
                <w:rFonts w:ascii="宋体" w:hAnsi="宋体" w:eastAsia="宋体" w:cs="宋体"/>
                <w:b/>
                <w:color w:val="auto"/>
                <w:kern w:val="2"/>
              </w:rPr>
            </w:pPr>
            <w:r>
              <w:rPr>
                <w:rFonts w:hint="eastAsia" w:ascii="宋体" w:hAnsi="宋体" w:eastAsia="宋体" w:cs="宋体"/>
                <w:b/>
                <w:color w:val="auto"/>
                <w:kern w:val="2"/>
                <w:sz w:val="21"/>
                <w:szCs w:val="21"/>
              </w:rPr>
              <w:t>序号</w:t>
            </w:r>
          </w:p>
        </w:tc>
        <w:tc>
          <w:tcPr>
            <w:tcW w:w="5904" w:type="dxa"/>
            <w:vMerge w:val="restart"/>
            <w:tcBorders>
              <w:top w:val="single" w:color="auto" w:sz="12"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文    件    名    称</w:t>
            </w:r>
          </w:p>
        </w:tc>
        <w:tc>
          <w:tcPr>
            <w:tcW w:w="1069" w:type="dxa"/>
            <w:gridSpan w:val="2"/>
            <w:tcBorders>
              <w:top w:val="single" w:color="auto" w:sz="12"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提交情况</w:t>
            </w:r>
          </w:p>
        </w:tc>
        <w:tc>
          <w:tcPr>
            <w:tcW w:w="994" w:type="dxa"/>
            <w:vMerge w:val="restart"/>
            <w:tcBorders>
              <w:top w:val="single" w:color="auto" w:sz="12"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ind w:left="-99" w:leftChars="-45" w:right="-81" w:rightChars="-37"/>
              <w:jc w:val="center"/>
              <w:rPr>
                <w:rFonts w:ascii="宋体" w:hAnsi="宋体" w:eastAsia="宋体" w:cs="宋体"/>
                <w:b/>
                <w:color w:val="auto"/>
                <w:kern w:val="2"/>
              </w:rPr>
            </w:pPr>
            <w:r>
              <w:rPr>
                <w:rFonts w:hint="eastAsia" w:ascii="宋体" w:hAnsi="宋体" w:eastAsia="宋体" w:cs="宋体"/>
                <w:b/>
                <w:color w:val="auto"/>
                <w:kern w:val="2"/>
                <w:sz w:val="21"/>
                <w:szCs w:val="21"/>
              </w:rPr>
              <w:t>页码范围</w:t>
            </w:r>
          </w:p>
        </w:tc>
        <w:tc>
          <w:tcPr>
            <w:tcW w:w="897" w:type="dxa"/>
            <w:vMerge w:val="restart"/>
            <w:tcBorders>
              <w:top w:val="single" w:color="auto" w:sz="12"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37" w:hRule="atLeast"/>
        </w:trPr>
        <w:tc>
          <w:tcPr>
            <w:tcW w:w="674" w:type="dxa"/>
            <w:vMerge w:val="continue"/>
            <w:tcBorders>
              <w:top w:val="single" w:color="auto" w:sz="12" w:space="0"/>
              <w:left w:val="single" w:color="auto" w:sz="12" w:space="0"/>
              <w:bottom w:val="single" w:color="auto" w:sz="6" w:space="0"/>
              <w:right w:val="single" w:color="auto" w:sz="6" w:space="0"/>
            </w:tcBorders>
            <w:shd w:val="clear" w:color="auto" w:fill="EEECE1"/>
            <w:vAlign w:val="center"/>
          </w:tcPr>
          <w:p>
            <w:pPr>
              <w:rPr>
                <w:rFonts w:ascii="Calibri" w:hAnsi="Calibri" w:cs="Times New Roman"/>
                <w:color w:val="auto"/>
                <w:kern w:val="2"/>
                <w:sz w:val="21"/>
              </w:rPr>
            </w:pPr>
          </w:p>
        </w:tc>
        <w:tc>
          <w:tcPr>
            <w:tcW w:w="5904" w:type="dxa"/>
            <w:vMerge w:val="continue"/>
            <w:tcBorders>
              <w:top w:val="single" w:color="auto" w:sz="12" w:space="0"/>
              <w:left w:val="single" w:color="auto" w:sz="6" w:space="0"/>
              <w:bottom w:val="single" w:color="auto" w:sz="6" w:space="0"/>
              <w:right w:val="single" w:color="auto" w:sz="6" w:space="0"/>
            </w:tcBorders>
            <w:shd w:val="clear" w:color="auto" w:fill="EEECE1"/>
            <w:vAlign w:val="center"/>
          </w:tcPr>
          <w:p>
            <w:pPr>
              <w:rPr>
                <w:rFonts w:ascii="Calibri" w:hAnsi="Calibri" w:cs="Times New Roman"/>
                <w:color w:val="auto"/>
                <w:kern w:val="2"/>
                <w:sz w:val="21"/>
              </w:rPr>
            </w:pPr>
          </w:p>
        </w:tc>
        <w:tc>
          <w:tcPr>
            <w:tcW w:w="551"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有</w:t>
            </w:r>
          </w:p>
        </w:tc>
        <w:tc>
          <w:tcPr>
            <w:tcW w:w="518"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无</w:t>
            </w:r>
          </w:p>
        </w:tc>
        <w:tc>
          <w:tcPr>
            <w:tcW w:w="994" w:type="dxa"/>
            <w:vMerge w:val="continue"/>
            <w:tcBorders>
              <w:top w:val="single" w:color="auto" w:sz="12" w:space="0"/>
              <w:left w:val="single" w:color="auto" w:sz="6" w:space="0"/>
              <w:bottom w:val="single" w:color="auto" w:sz="6" w:space="0"/>
              <w:right w:val="single" w:color="auto" w:sz="6" w:space="0"/>
            </w:tcBorders>
            <w:shd w:val="clear" w:color="auto" w:fill="EEECE1"/>
            <w:vAlign w:val="center"/>
          </w:tcPr>
          <w:p>
            <w:pPr>
              <w:rPr>
                <w:rFonts w:ascii="Calibri" w:hAnsi="Calibri" w:cs="Times New Roman"/>
                <w:color w:val="auto"/>
                <w:kern w:val="2"/>
                <w:sz w:val="21"/>
              </w:rPr>
            </w:pPr>
          </w:p>
        </w:tc>
        <w:tc>
          <w:tcPr>
            <w:tcW w:w="897" w:type="dxa"/>
            <w:vMerge w:val="continue"/>
            <w:tcBorders>
              <w:top w:val="single" w:color="auto" w:sz="12" w:space="0"/>
              <w:left w:val="single" w:color="auto" w:sz="6" w:space="0"/>
              <w:bottom w:val="single" w:color="auto" w:sz="6" w:space="0"/>
              <w:right w:val="single" w:color="auto" w:sz="12" w:space="0"/>
            </w:tcBorders>
            <w:shd w:val="clear" w:color="auto" w:fill="EEECE1"/>
            <w:vAlign w:val="center"/>
          </w:tcPr>
          <w:p>
            <w:pPr>
              <w:rPr>
                <w:rFonts w:ascii="Calibri" w:hAnsi="Calibri" w:cs="Times New Roman"/>
                <w:color w:val="auto"/>
                <w:kern w:val="2"/>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9538" w:type="dxa"/>
            <w:gridSpan w:val="6"/>
            <w:tcBorders>
              <w:top w:val="single" w:color="auto" w:sz="6" w:space="0"/>
              <w:left w:val="single" w:color="auto" w:sz="12"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一、</w:t>
            </w:r>
            <w:r>
              <w:rPr>
                <w:rFonts w:hint="eastAsia" w:ascii="宋体" w:hAnsi="宋体" w:eastAsia="宋体" w:cs="宋体"/>
                <w:b/>
                <w:color w:val="auto"/>
                <w:kern w:val="2"/>
                <w:sz w:val="21"/>
                <w:szCs w:val="21"/>
              </w:rPr>
              <w:t>初审文件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磋商函。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08"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响应供应商资格声明函。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hAnsi="宋体"/>
                <w:strike/>
                <w:color w:val="auto"/>
                <w:kern w:val="2"/>
              </w:rPr>
            </w:pPr>
            <w:r>
              <w:rPr>
                <w:rFonts w:hint="eastAsia" w:ascii="宋体" w:hAnsi="宋体" w:eastAsia="宋体" w:cs="宋体"/>
                <w:bCs/>
                <w:color w:val="auto"/>
                <w:kern w:val="2"/>
                <w:sz w:val="21"/>
                <w:szCs w:val="21"/>
              </w:rPr>
              <w:t>提供在中华人民共和国境内注册的法人或其他组织的营业执照（或事业单位法人证书，或社会团体法人登记证书）、组织机构代码证、税务登记证【如已办理了多证合一，则仅需提供合证后的营业执照】，如供应商为自然人的需提供自然人身份证明；</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ascii="宋体" w:hAnsi="宋体" w:eastAsia="宋体" w:cs="宋体"/>
                <w:strike/>
                <w:color w:val="auto"/>
                <w:kern w:val="2"/>
              </w:rPr>
            </w:pPr>
            <w:r>
              <w:rPr>
                <w:rFonts w:hint="eastAsia" w:ascii="宋体" w:hAnsi="宋体" w:eastAsia="宋体" w:cs="宋体"/>
                <w:color w:val="auto"/>
                <w:kern w:val="2"/>
              </w:rPr>
              <w:t>提供2018年或2019年年度财务状况报告复印件，或2020年任意1个月的财务状况报告复印件，或银行出具的资信证明材料复印件；</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ascii="宋体" w:hAnsi="宋体" w:eastAsia="宋体" w:cs="宋体"/>
                <w:strike/>
                <w:color w:val="auto"/>
                <w:kern w:val="2"/>
              </w:rPr>
            </w:pPr>
            <w:r>
              <w:rPr>
                <w:rFonts w:hint="eastAsia" w:ascii="宋体" w:hAnsi="宋体" w:eastAsia="宋体" w:cs="宋体"/>
                <w:color w:val="auto"/>
                <w:kern w:val="2"/>
              </w:rPr>
              <w:t>提供2019年或2020年任意1个月的依法缴纳税收的证明（纳税凭证）复印件；如依法免税的，应提供相关材料；</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ascii="宋体" w:hAnsi="宋体" w:eastAsia="宋体" w:cs="宋体"/>
                <w:bCs/>
                <w:color w:val="auto"/>
                <w:kern w:val="2"/>
              </w:rPr>
            </w:pPr>
            <w:r>
              <w:rPr>
                <w:rFonts w:hint="eastAsia" w:ascii="宋体" w:hAnsi="宋体" w:eastAsia="宋体" w:cs="宋体"/>
                <w:bCs/>
                <w:color w:val="auto"/>
                <w:kern w:val="2"/>
              </w:rPr>
              <w:t>提供2019年或2020年任意1个月的依法缴纳社会保险的证明（缴纳凭证）复印件；如依法不需要缴纳社会保障资金的，应提供相关材料证明其依法不需要缴纳社会保障资金；</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3"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ascii="宋体" w:hAnsi="宋体" w:eastAsia="宋体" w:cs="宋体"/>
                <w:strike/>
                <w:color w:val="auto"/>
                <w:kern w:val="2"/>
              </w:rPr>
            </w:pPr>
            <w:r>
              <w:rPr>
                <w:rFonts w:hint="eastAsia" w:ascii="宋体" w:hAnsi="宋体" w:eastAsia="宋体" w:cs="宋体"/>
                <w:bCs/>
                <w:color w:val="auto"/>
                <w:kern w:val="2"/>
                <w:sz w:val="21"/>
                <w:szCs w:val="21"/>
              </w:rPr>
              <w:t>提供履行合同所必需的设备和专业技术能力的证明材料；（提供《</w:t>
            </w:r>
            <w:r>
              <w:rPr>
                <w:rFonts w:hint="eastAsia" w:ascii="宋体" w:hAnsi="宋体" w:eastAsia="宋体" w:cs="宋体"/>
                <w:color w:val="auto"/>
                <w:kern w:val="2"/>
                <w:sz w:val="21"/>
                <w:szCs w:val="21"/>
              </w:rPr>
              <w:t>响应供应商</w:t>
            </w:r>
            <w:r>
              <w:rPr>
                <w:rFonts w:hint="eastAsia" w:ascii="宋体" w:hAnsi="宋体" w:eastAsia="宋体" w:cs="宋体"/>
                <w:bCs/>
                <w:color w:val="auto"/>
                <w:kern w:val="2"/>
                <w:sz w:val="21"/>
                <w:szCs w:val="21"/>
              </w:rPr>
              <w:t>资格声明函》）；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ascii="宋体" w:hAnsi="宋体" w:eastAsia="宋体" w:cs="宋体"/>
                <w:strike/>
                <w:color w:val="auto"/>
                <w:kern w:val="2"/>
              </w:rPr>
            </w:pPr>
            <w:r>
              <w:rPr>
                <w:rFonts w:hint="eastAsia" w:ascii="宋体" w:hAnsi="宋体" w:eastAsia="宋体" w:cs="宋体"/>
                <w:bCs/>
                <w:color w:val="auto"/>
                <w:kern w:val="2"/>
                <w:sz w:val="21"/>
                <w:szCs w:val="21"/>
              </w:rPr>
              <w:t>提供参加政府采购活动前3年内在经营活动中没有重大违法记录的书面声明；（提供《</w:t>
            </w:r>
            <w:r>
              <w:rPr>
                <w:rFonts w:hint="eastAsia" w:ascii="宋体" w:hAnsi="宋体" w:eastAsia="宋体" w:cs="宋体"/>
                <w:color w:val="auto"/>
                <w:kern w:val="2"/>
                <w:sz w:val="21"/>
                <w:szCs w:val="21"/>
              </w:rPr>
              <w:t>响应供应商</w:t>
            </w:r>
            <w:r>
              <w:rPr>
                <w:rFonts w:hint="eastAsia" w:ascii="宋体" w:hAnsi="宋体" w:eastAsia="宋体" w:cs="宋体"/>
                <w:bCs/>
                <w:color w:val="auto"/>
                <w:kern w:val="2"/>
                <w:sz w:val="21"/>
                <w:szCs w:val="21"/>
              </w:rPr>
              <w:t>资格声明函》）。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tcPr>
          <w:p>
            <w:pPr>
              <w:widowControl w:val="0"/>
              <w:autoSpaceDN w:val="0"/>
              <w:adjustRightInd/>
              <w:spacing w:after="0" w:line="276" w:lineRule="auto"/>
              <w:jc w:val="both"/>
              <w:rPr>
                <w:rFonts w:ascii="宋体" w:hAnsi="宋体" w:eastAsia="宋体" w:cs="宋体"/>
                <w:bCs/>
                <w:color w:val="auto"/>
                <w:kern w:val="2"/>
                <w:highlight w:val="green"/>
              </w:rPr>
            </w:pPr>
            <w:r>
              <w:rPr>
                <w:rFonts w:hint="eastAsia" w:ascii="宋体" w:hAnsi="宋体" w:eastAsia="宋体" w:cs="宋体"/>
                <w:bCs/>
                <w:color w:val="auto"/>
                <w:kern w:val="2"/>
                <w:sz w:val="21"/>
                <w:szCs w:val="21"/>
              </w:rPr>
              <w:t>为采购项目提供整体设计、规范编制或者项目管理、监理、检测等服务的供应商，不得再参加该采购项目的其他采购活动</w:t>
            </w:r>
            <w:r>
              <w:rPr>
                <w:rFonts w:hint="eastAsia" w:ascii="Times New Roman" w:hAnsi="Times New Roman" w:eastAsia="宋体" w:cs="宋体"/>
                <w:bCs/>
                <w:color w:val="auto"/>
                <w:kern w:val="2"/>
                <w:sz w:val="21"/>
                <w:szCs w:val="21"/>
              </w:rPr>
              <w:t>。</w:t>
            </w:r>
            <w:r>
              <w:rPr>
                <w:rFonts w:hint="eastAsia" w:ascii="宋体" w:hAnsi="宋体" w:eastAsia="宋体" w:cs="宋体"/>
                <w:bCs/>
                <w:color w:val="auto"/>
                <w:kern w:val="2"/>
                <w:sz w:val="21"/>
                <w:szCs w:val="20"/>
              </w:rPr>
              <w:t>（提供《</w:t>
            </w:r>
            <w:r>
              <w:rPr>
                <w:rFonts w:hint="eastAsia" w:ascii="宋体" w:hAnsi="宋体" w:eastAsia="宋体" w:cs="宋体"/>
                <w:color w:val="auto"/>
                <w:kern w:val="2"/>
                <w:sz w:val="21"/>
                <w:szCs w:val="21"/>
              </w:rPr>
              <w:t>响应供应商</w:t>
            </w:r>
            <w:r>
              <w:rPr>
                <w:rFonts w:hint="eastAsia" w:ascii="宋体" w:hAnsi="宋体" w:eastAsia="宋体" w:cs="宋体"/>
                <w:bCs/>
                <w:color w:val="auto"/>
                <w:kern w:val="2"/>
                <w:sz w:val="21"/>
                <w:szCs w:val="20"/>
              </w:rPr>
              <w:t>资格声明函》）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30"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N w:val="0"/>
              <w:adjustRightInd/>
              <w:spacing w:after="0" w:line="276" w:lineRule="auto"/>
              <w:jc w:val="both"/>
              <w:rPr>
                <w:rFonts w:hAnsi="宋体" w:cs="Courier New"/>
                <w:color w:val="auto"/>
                <w:kern w:val="2"/>
              </w:rPr>
            </w:pPr>
            <w:r>
              <w:rPr>
                <w:rFonts w:hint="eastAsia" w:ascii="Times New Roman" w:hAnsi="宋体" w:eastAsia="宋体" w:cs="Courier New"/>
                <w:color w:val="auto"/>
                <w:kern w:val="2"/>
                <w:sz w:val="21"/>
                <w:szCs w:val="21"/>
              </w:rPr>
              <w:t>单位负责人为同一人或者存在直接控股、管理关系的不同供应商，不得参加同一合同项下的政府采购活动。（提供《响应供应商资格声明函》）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hAnsi="宋体" w:cs="宋体"/>
                <w:bCs/>
                <w:color w:val="auto"/>
                <w:kern w:val="2"/>
              </w:rPr>
            </w:pPr>
            <w:r>
              <w:rPr>
                <w:rFonts w:hint="eastAsia" w:ascii="Times New Roman" w:hAnsi="宋体" w:eastAsia="宋体" w:cs="Courier New"/>
                <w:color w:val="auto"/>
                <w:kern w:val="2"/>
                <w:sz w:val="21"/>
                <w:szCs w:val="21"/>
              </w:rPr>
              <w:t>法定代表人授权委托书</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hAnsi="宋体" w:cs="Courier New"/>
                <w:color w:val="auto"/>
                <w:kern w:val="2"/>
              </w:rPr>
            </w:pPr>
            <w:r>
              <w:rPr>
                <w:rFonts w:hint="eastAsia" w:ascii="Times New Roman" w:hAnsi="宋体" w:eastAsia="宋体" w:cs="Courier New"/>
                <w:color w:val="auto"/>
                <w:kern w:val="2"/>
                <w:sz w:val="21"/>
                <w:szCs w:val="21"/>
              </w:rPr>
              <w:t>法定代表人证明书</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cs="Courier New"/>
                <w:color w:val="auto"/>
                <w:kern w:val="2"/>
              </w:rPr>
            </w:pPr>
            <w:r>
              <w:rPr>
                <w:rFonts w:hint="eastAsia" w:ascii="宋体" w:hAnsi="宋体" w:eastAsia="宋体" w:cs="宋体"/>
                <w:bCs/>
                <w:color w:val="auto"/>
                <w:kern w:val="2"/>
                <w:sz w:val="21"/>
                <w:szCs w:val="21"/>
              </w:rPr>
              <w:t>已成功办理采购文件获取登记的供应商。</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8"/>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trPr>
        <w:tc>
          <w:tcPr>
            <w:tcW w:w="9538" w:type="dxa"/>
            <w:gridSpan w:val="6"/>
            <w:tcBorders>
              <w:top w:val="single" w:color="auto" w:sz="6" w:space="0"/>
              <w:left w:val="single" w:color="auto" w:sz="12"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二、</w:t>
            </w:r>
            <w:r>
              <w:rPr>
                <w:rFonts w:hint="eastAsia" w:ascii="宋体" w:hAnsi="宋体" w:eastAsia="宋体" w:cs="宋体"/>
                <w:b/>
                <w:color w:val="auto"/>
                <w:kern w:val="2"/>
                <w:sz w:val="21"/>
                <w:szCs w:val="21"/>
              </w:rPr>
              <w:t>技术文件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宋体" w:hAnsi="宋体" w:eastAsia="宋体" w:cs="宋体"/>
                <w:color w:val="auto"/>
                <w:kern w:val="2"/>
                <w:sz w:val="21"/>
                <w:szCs w:val="21"/>
              </w:rPr>
              <w:t>报价表（首次报价）</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Times New Roman" w:hAnsi="宋体" w:eastAsia="宋体" w:cs="Courier New"/>
                <w:color w:val="auto"/>
                <w:kern w:val="2"/>
                <w:sz w:val="21"/>
                <w:szCs w:val="21"/>
              </w:rPr>
              <w:t>中小企业声明函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hAnsi="宋体" w:cs="Courier New"/>
                <w:color w:val="auto"/>
                <w:kern w:val="2"/>
              </w:rPr>
            </w:pPr>
            <w:r>
              <w:rPr>
                <w:rFonts w:hint="eastAsia" w:ascii="Times New Roman" w:hAnsi="宋体" w:eastAsia="宋体" w:cs="Courier New"/>
                <w:color w:val="auto"/>
                <w:kern w:val="2"/>
                <w:sz w:val="21"/>
                <w:szCs w:val="21"/>
              </w:rPr>
              <w:t>监狱企业的证明文件</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hAnsi="宋体" w:cs="Courier New"/>
                <w:color w:val="auto"/>
                <w:kern w:val="2"/>
              </w:rPr>
            </w:pPr>
            <w:r>
              <w:rPr>
                <w:rFonts w:hint="eastAsia" w:ascii="Times New Roman" w:hAnsi="宋体" w:eastAsia="宋体" w:cs="Courier New"/>
                <w:color w:val="auto"/>
                <w:kern w:val="2"/>
                <w:sz w:val="21"/>
                <w:szCs w:val="21"/>
              </w:rPr>
              <w:t>残疾人福利性单位声明函</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Times New Roman" w:hAnsi="宋体" w:eastAsia="宋体" w:cs="Courier New"/>
                <w:color w:val="auto"/>
                <w:kern w:val="2"/>
                <w:sz w:val="21"/>
                <w:szCs w:val="21"/>
              </w:rPr>
            </w:pPr>
            <w:r>
              <w:rPr>
                <w:rFonts w:hint="eastAsia" w:ascii="Times New Roman" w:hAnsi="宋体" w:eastAsia="宋体" w:cs="Courier New"/>
                <w:color w:val="auto"/>
                <w:kern w:val="2"/>
                <w:sz w:val="21"/>
                <w:szCs w:val="21"/>
              </w:rPr>
              <w:t>政策功能情况（节能产品、环境保护标志产品）</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color w:val="auto"/>
                <w:kern w:val="2"/>
              </w:rPr>
            </w:pPr>
            <w:r>
              <w:rPr>
                <w:rFonts w:hint="eastAsia" w:ascii="Times New Roman" w:hAnsi="宋体" w:eastAsia="宋体" w:cs="宋体"/>
                <w:color w:val="auto"/>
                <w:kern w:val="2"/>
                <w:sz w:val="21"/>
                <w:szCs w:val="21"/>
              </w:rPr>
              <w:t>用户需求书响应一览表</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49"/>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textAlignment w:val="baseline"/>
              <w:rPr>
                <w:rFonts w:ascii="宋体" w:hAnsi="宋体" w:eastAsia="宋体" w:cs="宋体"/>
                <w:color w:val="auto"/>
                <w:kern w:val="2"/>
              </w:rPr>
            </w:pPr>
            <w:r>
              <w:rPr>
                <w:rFonts w:hint="eastAsia" w:ascii="宋体" w:hAnsi="宋体" w:eastAsia="宋体" w:cs="宋体"/>
                <w:color w:val="auto"/>
                <w:kern w:val="2"/>
                <w:sz w:val="21"/>
                <w:szCs w:val="21"/>
              </w:rPr>
              <w:t>响应供应商认为需要提供的其它说明和资料</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rPr>
        <w:tc>
          <w:tcPr>
            <w:tcW w:w="9538" w:type="dxa"/>
            <w:gridSpan w:val="6"/>
            <w:tcBorders>
              <w:top w:val="single" w:color="auto" w:sz="6" w:space="0"/>
              <w:left w:val="single" w:color="auto" w:sz="12"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三、</w:t>
            </w:r>
            <w:r>
              <w:rPr>
                <w:rFonts w:hint="eastAsia" w:ascii="宋体" w:hAnsi="宋体" w:eastAsia="宋体" w:cs="宋体"/>
                <w:b/>
                <w:color w:val="auto"/>
                <w:kern w:val="2"/>
                <w:sz w:val="21"/>
                <w:szCs w:val="21"/>
              </w:rPr>
              <w:t>商务文件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响应供应商基本情况表</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同类项目情况一览表</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投入本项目的服务团队情况一览表</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合同条款响应一览表</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招标代理服务费承诺书</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rPr>
                <w:rFonts w:hint="default" w:hAnsi="宋体" w:cs="Courier New"/>
                <w:color w:val="auto"/>
                <w:kern w:val="2"/>
                <w:sz w:val="21"/>
              </w:rPr>
            </w:pPr>
            <w:r>
              <w:rPr>
                <w:rFonts w:hAnsi="宋体" w:cs="Courier New"/>
                <w:color w:val="auto"/>
                <w:kern w:val="2"/>
                <w:sz w:val="21"/>
              </w:rPr>
              <w:t>开票资料</w:t>
            </w:r>
          </w:p>
        </w:tc>
        <w:tc>
          <w:tcPr>
            <w:tcW w:w="55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1" w:hRule="atLeast"/>
        </w:trPr>
        <w:tc>
          <w:tcPr>
            <w:tcW w:w="674" w:type="dxa"/>
            <w:tcBorders>
              <w:top w:val="single" w:color="auto" w:sz="6" w:space="0"/>
              <w:left w:val="single" w:color="auto" w:sz="12" w:space="0"/>
              <w:bottom w:val="single" w:color="auto" w:sz="12" w:space="0"/>
              <w:right w:val="single" w:color="auto" w:sz="6" w:space="0"/>
            </w:tcBorders>
            <w:shd w:val="clear" w:color="auto" w:fill="auto"/>
            <w:vAlign w:val="center"/>
          </w:tcPr>
          <w:p>
            <w:pPr>
              <w:widowControl w:val="0"/>
              <w:numPr>
                <w:ilvl w:val="0"/>
                <w:numId w:val="50"/>
              </w:numPr>
              <w:autoSpaceDN w:val="0"/>
              <w:adjustRightInd/>
              <w:spacing w:after="0"/>
              <w:jc w:val="center"/>
              <w:rPr>
                <w:rFonts w:ascii="宋体" w:hAnsi="宋体" w:eastAsia="宋体" w:cs="宋体"/>
                <w:color w:val="auto"/>
                <w:kern w:val="2"/>
              </w:rPr>
            </w:pPr>
          </w:p>
        </w:tc>
        <w:tc>
          <w:tcPr>
            <w:tcW w:w="5904"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val="0"/>
              <w:autoSpaceDE w:val="0"/>
              <w:autoSpaceDN w:val="0"/>
              <w:spacing w:after="0"/>
              <w:textAlignment w:val="baseline"/>
              <w:rPr>
                <w:rFonts w:ascii="宋体" w:hAnsi="宋体" w:eastAsia="宋体" w:cs="宋体"/>
                <w:color w:val="auto"/>
                <w:kern w:val="2"/>
              </w:rPr>
            </w:pPr>
            <w:r>
              <w:rPr>
                <w:rFonts w:hint="eastAsia" w:ascii="宋体" w:hAnsi="宋体" w:eastAsia="宋体" w:cs="宋体"/>
                <w:color w:val="auto"/>
                <w:kern w:val="2"/>
                <w:sz w:val="21"/>
                <w:szCs w:val="21"/>
              </w:rPr>
              <w:t>响应供应商认为需要提供的其他商务资料</w:t>
            </w:r>
          </w:p>
        </w:tc>
        <w:tc>
          <w:tcPr>
            <w:tcW w:w="551"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518"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994" w:type="dxa"/>
            <w:tcBorders>
              <w:top w:val="single" w:color="auto" w:sz="6" w:space="0"/>
              <w:left w:val="single" w:color="auto" w:sz="6" w:space="0"/>
              <w:bottom w:val="single" w:color="auto" w:sz="12"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c>
          <w:tcPr>
            <w:tcW w:w="897" w:type="dxa"/>
            <w:tcBorders>
              <w:top w:val="single" w:color="auto" w:sz="6" w:space="0"/>
              <w:left w:val="single" w:color="auto" w:sz="6" w:space="0"/>
              <w:bottom w:val="single" w:color="auto" w:sz="12"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p>
        </w:tc>
      </w:tr>
    </w:tbl>
    <w:p>
      <w:pPr>
        <w:rPr>
          <w:rFonts w:ascii="黑体" w:hAnsi="Times New Roman" w:eastAsia="黑体" w:cs="Times New Roman"/>
          <w:bCs/>
          <w:color w:val="auto"/>
          <w:sz w:val="28"/>
          <w:szCs w:val="21"/>
        </w:rPr>
        <w:sectPr>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b w:val="0"/>
          <w:bCs/>
          <w:color w:val="auto"/>
        </w:rPr>
      </w:pPr>
      <w:bookmarkStart w:id="44" w:name="_Toc275865605"/>
      <w:bookmarkStart w:id="45" w:name="_Toc416770254"/>
      <w:bookmarkStart w:id="46" w:name="_Toc416771364"/>
      <w:bookmarkStart w:id="47" w:name="_Toc410736178"/>
      <w:bookmarkStart w:id="48" w:name="_Toc410738977"/>
      <w:r>
        <w:rPr>
          <w:rFonts w:hint="eastAsia" w:cs="黑体"/>
          <w:b w:val="0"/>
          <w:bCs/>
          <w:color w:val="auto"/>
        </w:rPr>
        <w:t>磋</w:t>
      </w:r>
      <w:r>
        <w:rPr>
          <w:b w:val="0"/>
          <w:bCs/>
          <w:color w:val="auto"/>
        </w:rPr>
        <w:t xml:space="preserve"> </w:t>
      </w:r>
      <w:r>
        <w:rPr>
          <w:rFonts w:hint="eastAsia" w:cs="黑体"/>
          <w:b w:val="0"/>
          <w:bCs/>
          <w:color w:val="auto"/>
        </w:rPr>
        <w:t>商</w:t>
      </w:r>
      <w:r>
        <w:rPr>
          <w:b w:val="0"/>
          <w:bCs/>
          <w:color w:val="auto"/>
        </w:rPr>
        <w:t xml:space="preserve"> </w:t>
      </w:r>
      <w:bookmarkEnd w:id="44"/>
      <w:r>
        <w:rPr>
          <w:rFonts w:hint="eastAsia" w:cs="黑体"/>
          <w:b w:val="0"/>
          <w:bCs/>
          <w:color w:val="auto"/>
        </w:rPr>
        <w:t>函</w:t>
      </w:r>
      <w:bookmarkEnd w:id="45"/>
      <w:bookmarkEnd w:id="46"/>
      <w:bookmarkEnd w:id="47"/>
      <w:bookmarkEnd w:id="48"/>
    </w:p>
    <w:p>
      <w:pPr>
        <w:widowControl w:val="0"/>
        <w:autoSpaceDE w:val="0"/>
        <w:autoSpaceDN w:val="0"/>
        <w:spacing w:after="0" w:line="400" w:lineRule="exact"/>
        <w:ind w:left="110" w:leftChars="50" w:firstLine="2"/>
        <w:rPr>
          <w:rFonts w:ascii="宋体" w:hAnsi="宋体" w:eastAsia="宋体" w:cs="宋体"/>
          <w:b/>
          <w:color w:val="auto"/>
        </w:rPr>
      </w:pPr>
      <w:r>
        <w:rPr>
          <w:rFonts w:hint="eastAsia" w:ascii="宋体" w:hAnsi="宋体" w:eastAsia="宋体" w:cs="宋体"/>
          <w:b/>
          <w:color w:val="auto"/>
          <w:sz w:val="21"/>
          <w:szCs w:val="21"/>
        </w:rPr>
        <w:t>致：广州公信招标有限公司</w:t>
      </w:r>
    </w:p>
    <w:p>
      <w:pPr>
        <w:widowControl w:val="0"/>
        <w:autoSpaceDE w:val="0"/>
        <w:autoSpaceDN w:val="0"/>
        <w:spacing w:after="0" w:line="360" w:lineRule="auto"/>
        <w:ind w:left="110" w:leftChars="50" w:firstLine="420" w:firstLineChars="200"/>
        <w:rPr>
          <w:rFonts w:ascii="宋体" w:hAnsi="宋体" w:eastAsia="宋体" w:cs="宋体"/>
          <w:color w:val="auto"/>
        </w:rPr>
      </w:pPr>
      <w:r>
        <w:rPr>
          <w:rFonts w:hint="eastAsia" w:ascii="宋体" w:hAnsi="宋体" w:eastAsia="宋体" w:cs="宋体"/>
          <w:color w:val="auto"/>
          <w:sz w:val="21"/>
          <w:szCs w:val="21"/>
        </w:rPr>
        <w:t>我方确认收到贵方</w:t>
      </w:r>
      <w:r>
        <w:rPr>
          <w:rFonts w:hint="eastAsia" w:ascii="宋体" w:hAnsi="宋体" w:eastAsia="宋体" w:cs="宋体"/>
          <w:color w:val="auto"/>
          <w:sz w:val="21"/>
          <w:szCs w:val="21"/>
          <w:u w:val="single"/>
        </w:rPr>
        <w:t xml:space="preserve">             （项目名称）   </w:t>
      </w:r>
      <w:r>
        <w:rPr>
          <w:rFonts w:hint="eastAsia" w:ascii="宋体" w:hAnsi="宋体" w:eastAsia="宋体" w:cs="宋体"/>
          <w:color w:val="auto"/>
          <w:kern w:val="28"/>
          <w:sz w:val="21"/>
          <w:szCs w:val="21"/>
          <w:u w:val="single"/>
        </w:rPr>
        <w:t xml:space="preserve">      </w:t>
      </w:r>
      <w:r>
        <w:rPr>
          <w:rFonts w:hint="eastAsia" w:ascii="宋体" w:hAnsi="宋体" w:eastAsia="宋体" w:cs="宋体"/>
          <w:color w:val="auto"/>
          <w:kern w:val="28"/>
          <w:sz w:val="21"/>
          <w:szCs w:val="21"/>
        </w:rPr>
        <w:t>采购</w:t>
      </w:r>
      <w:r>
        <w:rPr>
          <w:rFonts w:hint="eastAsia" w:ascii="宋体" w:hAnsi="宋体" w:eastAsia="宋体" w:cs="宋体"/>
          <w:color w:val="auto"/>
          <w:sz w:val="21"/>
          <w:szCs w:val="21"/>
        </w:rPr>
        <w:t>货物及相关服务的竞争性磋商文件（项目编号：（项目编号）），</w:t>
      </w:r>
      <w:r>
        <w:rPr>
          <w:rFonts w:hint="eastAsia" w:ascii="宋体" w:hAnsi="宋体" w:eastAsia="宋体" w:cs="宋体"/>
          <w:color w:val="auto"/>
          <w:kern w:val="28"/>
          <w:sz w:val="21"/>
          <w:szCs w:val="21"/>
          <w:u w:val="single"/>
        </w:rPr>
        <w:t xml:space="preserve">  </w:t>
      </w:r>
      <w:r>
        <w:rPr>
          <w:rFonts w:hint="eastAsia" w:ascii="宋体" w:hAnsi="宋体" w:eastAsia="宋体" w:cs="宋体"/>
          <w:color w:val="auto"/>
          <w:sz w:val="21"/>
          <w:szCs w:val="21"/>
          <w:u w:val="single"/>
        </w:rPr>
        <w:t xml:space="preserve"> (响应供应商名称、地址)</w:t>
      </w:r>
      <w:r>
        <w:rPr>
          <w:rFonts w:hint="eastAsia" w:ascii="宋体" w:hAnsi="宋体" w:eastAsia="宋体" w:cs="宋体"/>
          <w:color w:val="auto"/>
          <w:kern w:val="28"/>
          <w:sz w:val="21"/>
          <w:szCs w:val="21"/>
          <w:u w:val="single"/>
        </w:rPr>
        <w:t xml:space="preserve">  </w:t>
      </w:r>
      <w:r>
        <w:rPr>
          <w:rFonts w:hint="eastAsia" w:ascii="宋体" w:hAnsi="宋体" w:eastAsia="宋体" w:cs="宋体"/>
          <w:color w:val="auto"/>
          <w:sz w:val="21"/>
          <w:szCs w:val="21"/>
        </w:rPr>
        <w:t>作为响应供应商已正式授权《法定代表人授权委托书》中的授权代表为我方签名代表，代表我方提交响应文件进行磋商。</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签名代表在此声明并同意：</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我们愿意遵守采购代理机构发布竞争性磋商文件的各项规定，自愿参加磋商, 并已清楚竞争性磋商文件的要求及有关文件规定，并严格按照竞争性磋商文件的规定履行全部责任和义务。</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我们同意本磋商自磋商截止之日起</w:t>
      </w:r>
      <w:r>
        <w:rPr>
          <w:rFonts w:hint="eastAsia" w:ascii="宋体" w:hAnsi="宋体" w:eastAsia="宋体" w:cs="宋体"/>
          <w:b/>
          <w:color w:val="auto"/>
          <w:sz w:val="21"/>
          <w:szCs w:val="21"/>
          <w:u w:val="single"/>
        </w:rPr>
        <w:t>90</w:t>
      </w:r>
      <w:r>
        <w:rPr>
          <w:rFonts w:hint="eastAsia" w:ascii="宋体" w:hAnsi="宋体" w:eastAsia="宋体" w:cs="宋体"/>
          <w:b/>
          <w:color w:val="auto"/>
          <w:sz w:val="21"/>
          <w:szCs w:val="21"/>
        </w:rPr>
        <w:t>天内有效。</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我们承诺从本项目递交响应文件截止时间起，本投标始终有效且不予撤销已递交的响应文件。</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我们已经详细地阅读并完全明白了全部竞争性磋商文件及附件，包括澄清（如有）及参考文件，我们完全理解本竞争性磋商文件的要求，</w:t>
      </w:r>
      <w:r>
        <w:rPr>
          <w:rFonts w:hint="eastAsia" w:ascii="宋体" w:hAnsi="Times New Roman" w:eastAsia="宋体" w:cs="宋体"/>
          <w:b/>
          <w:color w:val="auto"/>
          <w:sz w:val="21"/>
          <w:szCs w:val="21"/>
        </w:rPr>
        <w:t>我们同意放弃对竞争性磋商文件提出不明或误解的一切权力</w:t>
      </w:r>
      <w:r>
        <w:rPr>
          <w:rFonts w:hint="eastAsia" w:ascii="宋体" w:hAnsi="宋体" w:eastAsia="宋体" w:cs="宋体"/>
          <w:b/>
          <w:color w:val="auto"/>
          <w:sz w:val="21"/>
          <w:szCs w:val="21"/>
        </w:rPr>
        <w:t>。</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我们同意提供采购人与磋商小组要求的有关磋商的一切数据或资料。</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我们理解采购人与磋商小组并无义务必须接受最低报价的磋商或其它任何磋商，完全理解采购代理机构拒绝迟到的任何磋商和最低磋商报价不是被授予成交的唯一条件。</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 xml:space="preserve">如果我们未对竞争性磋商文件全部要求作出实质性响应，则完全同意并接受按无效磋商处理。 </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widowControl w:val="0"/>
        <w:numPr>
          <w:ilvl w:val="0"/>
          <w:numId w:val="51"/>
        </w:numPr>
        <w:autoSpaceDN w:val="0"/>
        <w:adjustRightInd/>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如果我们提供的声明或承诺不真实，则完全同意认定为我司提供虚假材料，并同意作相应处理。</w:t>
      </w:r>
    </w:p>
    <w:p>
      <w:pPr>
        <w:widowControl w:val="0"/>
        <w:numPr>
          <w:ilvl w:val="0"/>
          <w:numId w:val="51"/>
        </w:numPr>
        <w:autoSpaceDN w:val="0"/>
        <w:adjustRightInd/>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我们是依法注册的法人，在法律、财务及运作上完全独立于本项目采购人、用户单位（如有）和采购代理机构。</w:t>
      </w:r>
    </w:p>
    <w:p>
      <w:pPr>
        <w:widowControl w:val="0"/>
        <w:numPr>
          <w:ilvl w:val="0"/>
          <w:numId w:val="51"/>
        </w:numPr>
        <w:autoSpaceDN w:val="0"/>
        <w:spacing w:after="0" w:line="360" w:lineRule="auto"/>
        <w:jc w:val="both"/>
        <w:rPr>
          <w:rFonts w:ascii="宋体" w:hAnsi="宋体" w:eastAsia="宋体" w:cs="宋体"/>
          <w:b/>
          <w:color w:val="auto"/>
        </w:rPr>
      </w:pPr>
      <w:r>
        <w:rPr>
          <w:rFonts w:hint="eastAsia" w:ascii="宋体" w:hAnsi="宋体" w:eastAsia="宋体" w:cs="宋体"/>
          <w:b/>
          <w:color w:val="auto"/>
          <w:sz w:val="21"/>
          <w:szCs w:val="21"/>
        </w:rPr>
        <w:t>所有有关本次磋商的函电请寄：</w:t>
      </w:r>
      <w:r>
        <w:rPr>
          <w:rFonts w:hint="eastAsia" w:ascii="宋体" w:hAnsi="宋体" w:eastAsia="宋体" w:cs="宋体"/>
          <w:b/>
          <w:color w:val="auto"/>
          <w:sz w:val="21"/>
          <w:szCs w:val="21"/>
          <w:u w:val="single"/>
        </w:rPr>
        <w:t xml:space="preserve">  （响应供应商地址）   </w:t>
      </w:r>
      <w:r>
        <w:rPr>
          <w:rFonts w:hint="eastAsia" w:ascii="宋体" w:hAnsi="宋体" w:eastAsia="宋体" w:cs="宋体"/>
          <w:b/>
          <w:color w:val="auto"/>
          <w:sz w:val="21"/>
          <w:szCs w:val="21"/>
        </w:rPr>
        <w:t xml:space="preserve">  </w:t>
      </w:r>
    </w:p>
    <w:p>
      <w:pPr>
        <w:widowControl w:val="0"/>
        <w:autoSpaceDE w:val="0"/>
        <w:autoSpaceDN w:val="0"/>
        <w:spacing w:after="0" w:line="360" w:lineRule="auto"/>
        <w:ind w:left="420" w:firstLine="6"/>
        <w:rPr>
          <w:rFonts w:ascii="宋体" w:hAnsi="宋体" w:eastAsia="宋体" w:cs="宋体"/>
          <w:b/>
          <w:color w:val="auto"/>
        </w:rPr>
      </w:pPr>
      <w:r>
        <w:rPr>
          <w:rFonts w:hint="eastAsia" w:ascii="宋体" w:hAnsi="宋体" w:eastAsia="宋体" w:cs="宋体"/>
          <w:b/>
          <w:color w:val="auto"/>
          <w:sz w:val="21"/>
          <w:szCs w:val="21"/>
        </w:rPr>
        <w:t>备注：</w:t>
      </w:r>
    </w:p>
    <w:p>
      <w:pPr>
        <w:widowControl w:val="0"/>
        <w:autoSpaceDE w:val="0"/>
        <w:autoSpaceDN w:val="0"/>
        <w:spacing w:after="0" w:line="360" w:lineRule="auto"/>
        <w:ind w:left="420" w:firstLine="316" w:firstLineChars="150"/>
        <w:rPr>
          <w:rFonts w:ascii="宋体" w:hAnsi="宋体" w:eastAsia="宋体" w:cs="宋体"/>
          <w:b/>
          <w:color w:val="auto"/>
        </w:rPr>
      </w:pPr>
      <w:r>
        <w:rPr>
          <w:rFonts w:hint="eastAsia" w:ascii="宋体" w:hAnsi="宋体" w:eastAsia="宋体" w:cs="宋体"/>
          <w:b/>
          <w:color w:val="auto"/>
          <w:sz w:val="21"/>
          <w:szCs w:val="21"/>
        </w:rPr>
        <w:t>1）磋商函中承诺的磋商有效期应当不少于磋商文件中载明的磋商有效期，否则视为无效响应。</w:t>
      </w:r>
    </w:p>
    <w:p>
      <w:pPr>
        <w:widowControl w:val="0"/>
        <w:autoSpaceDE w:val="0"/>
        <w:autoSpaceDN w:val="0"/>
        <w:spacing w:after="0" w:line="360" w:lineRule="auto"/>
        <w:ind w:left="420" w:firstLine="310"/>
        <w:rPr>
          <w:rFonts w:ascii="宋体" w:hAnsi="宋体" w:eastAsia="宋体" w:cs="宋体"/>
          <w:b/>
          <w:color w:val="auto"/>
          <w:u w:val="single"/>
        </w:rPr>
      </w:pPr>
      <w:r>
        <w:rPr>
          <w:rFonts w:hint="eastAsia" w:ascii="宋体" w:hAnsi="宋体" w:eastAsia="宋体" w:cs="宋体"/>
          <w:b/>
          <w:color w:val="auto"/>
          <w:sz w:val="21"/>
          <w:szCs w:val="21"/>
        </w:rPr>
        <w:t xml:space="preserve">2）除磋商有效期承诺的时间外，本磋商函内容不得擅自删改，否则视为无效响应。 </w:t>
      </w:r>
    </w:p>
    <w:p>
      <w:pPr>
        <w:widowControl w:val="0"/>
        <w:autoSpaceDE w:val="0"/>
        <w:autoSpaceDN w:val="0"/>
        <w:spacing w:after="0" w:line="400" w:lineRule="exact"/>
        <w:ind w:left="480"/>
        <w:rPr>
          <w:rFonts w:ascii="宋体" w:hAnsi="Times New Roman" w:eastAsia="宋体" w:cs="宋体"/>
          <w:color w:val="auto"/>
        </w:rPr>
      </w:pPr>
    </w:p>
    <w:p>
      <w:pPr>
        <w:widowControl w:val="0"/>
        <w:autoSpaceDE w:val="0"/>
        <w:autoSpaceDN w:val="0"/>
        <w:spacing w:after="0" w:line="360" w:lineRule="auto"/>
        <w:ind w:left="480"/>
        <w:rPr>
          <w:rFonts w:ascii="宋体" w:hAnsi="宋体" w:eastAsia="宋体" w:cs="宋体"/>
          <w:color w:val="auto"/>
        </w:rPr>
      </w:pPr>
      <w:r>
        <w:rPr>
          <w:rFonts w:hint="eastAsia" w:ascii="宋体" w:hAnsi="宋体" w:eastAsia="宋体" w:cs="宋体"/>
          <w:color w:val="auto"/>
          <w:sz w:val="21"/>
          <w:szCs w:val="21"/>
        </w:rPr>
        <w:t>法定代表人或响应供应商授权代表（签名或盖章）：</w:t>
      </w:r>
    </w:p>
    <w:p>
      <w:pPr>
        <w:widowControl w:val="0"/>
        <w:autoSpaceDE w:val="0"/>
        <w:autoSpaceDN w:val="0"/>
        <w:spacing w:after="0" w:line="360" w:lineRule="auto"/>
        <w:ind w:left="480"/>
        <w:rPr>
          <w:rFonts w:ascii="宋体" w:hAnsi="宋体" w:eastAsia="宋体" w:cs="宋体"/>
          <w:color w:val="auto"/>
        </w:rPr>
      </w:pPr>
      <w:r>
        <w:rPr>
          <w:rFonts w:hint="eastAsia" w:ascii="宋体" w:hAnsi="宋体" w:eastAsia="宋体" w:cs="宋体"/>
          <w:color w:val="auto"/>
          <w:sz w:val="21"/>
          <w:szCs w:val="21"/>
        </w:rPr>
        <w:t xml:space="preserve">职务：                    </w:t>
      </w:r>
    </w:p>
    <w:p>
      <w:pPr>
        <w:widowControl w:val="0"/>
        <w:autoSpaceDE w:val="0"/>
        <w:autoSpaceDN w:val="0"/>
        <w:spacing w:after="0" w:line="360" w:lineRule="auto"/>
        <w:ind w:left="480"/>
        <w:rPr>
          <w:rFonts w:ascii="宋体" w:hAnsi="宋体" w:eastAsia="宋体" w:cs="宋体"/>
          <w:color w:val="auto"/>
        </w:rPr>
      </w:pPr>
      <w:r>
        <w:rPr>
          <w:rFonts w:hint="eastAsia" w:ascii="宋体" w:hAnsi="宋体" w:eastAsia="宋体" w:cs="宋体"/>
          <w:color w:val="auto"/>
          <w:sz w:val="21"/>
          <w:szCs w:val="21"/>
        </w:rPr>
        <w:t xml:space="preserve">响应供应商名称:                         </w:t>
      </w:r>
    </w:p>
    <w:p>
      <w:pPr>
        <w:widowControl w:val="0"/>
        <w:autoSpaceDE w:val="0"/>
        <w:autoSpaceDN w:val="0"/>
        <w:spacing w:after="0" w:line="360" w:lineRule="auto"/>
        <w:ind w:left="480"/>
        <w:rPr>
          <w:rFonts w:ascii="宋体" w:hAnsi="宋体" w:eastAsia="宋体" w:cs="宋体"/>
          <w:color w:val="auto"/>
        </w:rPr>
      </w:pPr>
      <w:r>
        <w:rPr>
          <w:rFonts w:hint="eastAsia" w:ascii="宋体" w:hAnsi="宋体" w:eastAsia="宋体" w:cs="宋体"/>
          <w:color w:val="auto"/>
          <w:sz w:val="21"/>
          <w:szCs w:val="21"/>
        </w:rPr>
        <w:t xml:space="preserve">响应供应商公章：           </w:t>
      </w:r>
    </w:p>
    <w:p>
      <w:pPr>
        <w:widowControl w:val="0"/>
        <w:autoSpaceDE w:val="0"/>
        <w:autoSpaceDN w:val="0"/>
        <w:spacing w:after="0" w:line="360" w:lineRule="auto"/>
        <w:ind w:firstLine="472" w:firstLineChars="225"/>
        <w:rPr>
          <w:rFonts w:ascii="宋体" w:hAnsi="宋体" w:eastAsia="宋体" w:cs="宋体"/>
          <w:color w:val="auto"/>
        </w:rPr>
      </w:pPr>
      <w:r>
        <w:rPr>
          <w:rFonts w:hint="eastAsia" w:ascii="宋体" w:hAnsi="宋体" w:eastAsia="宋体" w:cs="宋体"/>
          <w:color w:val="auto"/>
          <w:sz w:val="21"/>
          <w:szCs w:val="21"/>
        </w:rPr>
        <w:t xml:space="preserve">电话：                传真：              邮编：   </w:t>
      </w:r>
    </w:p>
    <w:p>
      <w:pPr>
        <w:pStyle w:val="2"/>
        <w:widowControl/>
        <w:adjustRightInd w:val="0"/>
        <w:spacing w:beforeLines="50" w:afterLines="50" w:line="360" w:lineRule="auto"/>
        <w:jc w:val="center"/>
        <w:rPr>
          <w:b w:val="0"/>
          <w:bCs/>
          <w:color w:val="auto"/>
        </w:rPr>
      </w:pPr>
      <w:bookmarkStart w:id="49" w:name="_Toc416770255"/>
      <w:bookmarkStart w:id="50" w:name="_Toc410736179"/>
      <w:bookmarkStart w:id="51" w:name="_Toc416771365"/>
      <w:bookmarkStart w:id="52" w:name="_Toc410738978"/>
      <w:bookmarkStart w:id="53" w:name="_Toc275865606"/>
      <w:r>
        <w:rPr>
          <w:rFonts w:hint="eastAsia" w:cs="黑体"/>
          <w:b w:val="0"/>
          <w:bCs/>
          <w:color w:val="auto"/>
        </w:rPr>
        <w:t>响应供应商资格声明函</w:t>
      </w:r>
      <w:bookmarkEnd w:id="49"/>
      <w:bookmarkEnd w:id="50"/>
      <w:bookmarkEnd w:id="51"/>
      <w:bookmarkEnd w:id="52"/>
      <w:bookmarkEnd w:id="53"/>
    </w:p>
    <w:p>
      <w:pPr>
        <w:widowControl w:val="0"/>
        <w:autoSpaceDE w:val="0"/>
        <w:autoSpaceDN w:val="0"/>
        <w:spacing w:after="0" w:line="440" w:lineRule="exact"/>
        <w:rPr>
          <w:rFonts w:ascii="宋体" w:hAnsi="宋体" w:eastAsia="宋体" w:cs="宋体"/>
          <w:b/>
          <w:color w:val="auto"/>
        </w:rPr>
      </w:pPr>
      <w:r>
        <w:rPr>
          <w:rFonts w:hint="eastAsia" w:ascii="宋体" w:hAnsi="宋体" w:eastAsia="宋体" w:cs="宋体"/>
          <w:b/>
          <w:color w:val="auto"/>
          <w:sz w:val="21"/>
          <w:szCs w:val="21"/>
        </w:rPr>
        <w:t>广州公信招标有限公司：</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关于贵公司</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日发布</w:t>
      </w:r>
      <w:r>
        <w:rPr>
          <w:rFonts w:hint="eastAsia" w:ascii="宋体" w:hAnsi="宋体" w:eastAsia="宋体" w:cs="宋体"/>
          <w:color w:val="auto"/>
          <w:sz w:val="21"/>
          <w:szCs w:val="21"/>
          <w:u w:val="single"/>
        </w:rPr>
        <w:t xml:space="preserve">  （项目名称）</w:t>
      </w:r>
      <w:r>
        <w:rPr>
          <w:rFonts w:hint="eastAsia" w:ascii="宋体" w:hAnsi="宋体" w:eastAsia="宋体" w:cs="宋体"/>
          <w:color w:val="auto"/>
          <w:kern w:val="28"/>
          <w:sz w:val="21"/>
          <w:szCs w:val="21"/>
          <w:u w:val="single"/>
        </w:rPr>
        <w:t xml:space="preserve">  </w:t>
      </w:r>
      <w:r>
        <w:rPr>
          <w:rFonts w:hint="eastAsia" w:ascii="宋体" w:hAnsi="宋体" w:eastAsia="宋体" w:cs="宋体"/>
          <w:color w:val="auto"/>
          <w:sz w:val="21"/>
          <w:szCs w:val="21"/>
        </w:rPr>
        <w:t>（项目编号：（项目编号））的磋商公告，本公司（企业）愿意参加磋商，并声明：</w:t>
      </w:r>
    </w:p>
    <w:p>
      <w:pPr>
        <w:pStyle w:val="36"/>
        <w:widowControl/>
        <w:numPr>
          <w:ilvl w:val="0"/>
          <w:numId w:val="52"/>
        </w:numPr>
        <w:tabs>
          <w:tab w:val="left" w:pos="993"/>
        </w:tabs>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本公司（企业）具备《中华人民共和国政府采购法》第二十二条规定的条件：</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（一）具有独立承担民事责任的能力；</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（二）具有良好的商业信誉和健全的财务会计制度；</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（三）具有履行合同所必需的设备和专业技术能力；</w:t>
      </w:r>
    </w:p>
    <w:p>
      <w:pPr>
        <w:autoSpaceDE w:val="0"/>
        <w:autoSpaceDN w:val="0"/>
        <w:spacing w:after="0" w:line="360" w:lineRule="auto"/>
        <w:ind w:firstLine="360"/>
        <w:rPr>
          <w:rFonts w:ascii="宋体" w:hAnsi="宋体" w:eastAsia="宋体" w:cs="宋体"/>
          <w:b/>
          <w:color w:val="auto"/>
        </w:rPr>
      </w:pPr>
      <w:r>
        <w:rPr>
          <w:rFonts w:hint="eastAsia" w:ascii="宋体" w:hAnsi="宋体" w:eastAsia="宋体" w:cs="宋体"/>
          <w:b/>
          <w:color w:val="auto"/>
          <w:sz w:val="21"/>
          <w:szCs w:val="21"/>
        </w:rPr>
        <w:t>说明：提供技术人员、机械设备等证明文件。</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（四）有依法缴纳税收和社会保障资金的良好记录；</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（五）参加政府采购活动前三年内，在经营活动中没有重大违法记录；</w:t>
      </w:r>
    </w:p>
    <w:p>
      <w:pPr>
        <w:autoSpaceDE w:val="0"/>
        <w:autoSpaceDN w:val="0"/>
        <w:spacing w:after="0" w:line="360" w:lineRule="auto"/>
        <w:ind w:firstLine="360"/>
        <w:rPr>
          <w:rFonts w:ascii="宋体" w:hAnsi="宋体" w:eastAsia="宋体" w:cs="宋体"/>
          <w:color w:val="auto"/>
        </w:rPr>
      </w:pPr>
      <w:r>
        <w:rPr>
          <w:rFonts w:hint="eastAsia" w:ascii="宋体" w:hAnsi="宋体" w:eastAsia="宋体" w:cs="宋体"/>
          <w:color w:val="auto"/>
          <w:sz w:val="21"/>
          <w:szCs w:val="21"/>
        </w:rPr>
        <w:t>（六）法律、行政法规规定的其他条件。</w:t>
      </w:r>
    </w:p>
    <w:p>
      <w:pPr>
        <w:pStyle w:val="36"/>
        <w:widowControl/>
        <w:numPr>
          <w:ilvl w:val="0"/>
          <w:numId w:val="52"/>
        </w:numPr>
        <w:tabs>
          <w:tab w:val="left" w:pos="993"/>
        </w:tabs>
        <w:spacing w:line="360" w:lineRule="auto"/>
        <w:ind w:firstLineChars="0"/>
        <w:rPr>
          <w:rFonts w:ascii="宋体" w:hAnsi="宋体" w:eastAsia="宋体" w:cs="宋体"/>
          <w:bCs w:val="0"/>
          <w:color w:val="auto"/>
          <w:sz w:val="21"/>
          <w:szCs w:val="21"/>
        </w:rPr>
      </w:pPr>
      <w:r>
        <w:rPr>
          <w:rFonts w:hint="eastAsia" w:ascii="宋体" w:hAnsi="宋体" w:eastAsia="宋体" w:cs="宋体"/>
          <w:color w:val="auto"/>
          <w:sz w:val="21"/>
          <w:szCs w:val="21"/>
        </w:rPr>
        <w:t>根据《中华人民共和国政府采购法实施条例》的规定，本公司（企业）如为采购项目提供整体设计、规范编制或者项目管理、监理、检测等服务的供应商，不再参加该采购项目的其他采购活动。否则，由此所造成的损失、不良后果及法律责任，一律由我公司（企业）承担。</w:t>
      </w:r>
    </w:p>
    <w:p>
      <w:pPr>
        <w:pStyle w:val="36"/>
        <w:widowControl/>
        <w:numPr>
          <w:ilvl w:val="0"/>
          <w:numId w:val="52"/>
        </w:numPr>
        <w:tabs>
          <w:tab w:val="left" w:pos="993"/>
        </w:tabs>
        <w:spacing w:line="360" w:lineRule="auto"/>
        <w:ind w:firstLineChars="0"/>
        <w:rPr>
          <w:rFonts w:ascii="宋体" w:hAnsi="宋体" w:eastAsia="宋体" w:cs="宋体"/>
          <w:color w:val="auto"/>
          <w:sz w:val="21"/>
          <w:szCs w:val="21"/>
        </w:rPr>
      </w:pPr>
      <w:r>
        <w:rPr>
          <w:rFonts w:hint="eastAsia" w:ascii="宋体" w:hAnsi="宋体" w:eastAsia="宋体" w:cs="宋体"/>
          <w:color w:val="auto"/>
          <w:sz w:val="21"/>
          <w:szCs w:val="21"/>
        </w:rPr>
        <w:t>我方承诺单位负责人为同一人或者存在直接控股、管理关系的不同供应商，不得同时参加本采购项目投标。</w:t>
      </w:r>
    </w:p>
    <w:p>
      <w:pPr>
        <w:pStyle w:val="36"/>
        <w:widowControl/>
        <w:tabs>
          <w:tab w:val="left" w:pos="993"/>
        </w:tabs>
        <w:spacing w:line="360" w:lineRule="auto"/>
        <w:ind w:left="426" w:firstLine="0" w:firstLineChars="0"/>
        <w:rPr>
          <w:rFonts w:ascii="宋体" w:hAnsi="宋体" w:eastAsia="宋体" w:cs="宋体"/>
          <w:color w:val="auto"/>
          <w:sz w:val="21"/>
          <w:szCs w:val="21"/>
        </w:rPr>
      </w:pPr>
      <w:r>
        <w:rPr>
          <w:rFonts w:hint="eastAsia" w:ascii="宋体" w:hAnsi="宋体" w:eastAsia="宋体" w:cs="宋体"/>
          <w:color w:val="auto"/>
          <w:sz w:val="21"/>
          <w:szCs w:val="21"/>
        </w:rPr>
        <w:t>以上内容如有虚假或与事实不符的，可将我方做无效投标处理，我方愿意承担相应的法律责任。</w:t>
      </w:r>
    </w:p>
    <w:p>
      <w:pPr>
        <w:widowControl w:val="0"/>
        <w:autoSpaceDE w:val="0"/>
        <w:autoSpaceDN w:val="0"/>
        <w:spacing w:after="0" w:line="360" w:lineRule="auto"/>
        <w:ind w:firstLine="424" w:firstLineChars="202"/>
        <w:rPr>
          <w:rFonts w:ascii="宋体" w:hAnsi="宋体" w:eastAsia="宋体" w:cs="宋体"/>
          <w:color w:val="auto"/>
        </w:rPr>
      </w:pPr>
      <w:r>
        <w:rPr>
          <w:rFonts w:hint="eastAsia" w:ascii="宋体" w:hAnsi="宋体" w:eastAsia="宋体" w:cs="宋体"/>
          <w:color w:val="auto"/>
          <w:sz w:val="21"/>
          <w:szCs w:val="21"/>
        </w:rPr>
        <w:t>本公司（企业）承诺在本次招标采购活动中，如有违法、违规、弄虚作假行为，所造成的损失、不良后果及法律责任，一律由我公司（企业）承担。</w:t>
      </w:r>
    </w:p>
    <w:p>
      <w:pPr>
        <w:widowControl w:val="0"/>
        <w:autoSpaceDE w:val="0"/>
        <w:autoSpaceDN w:val="0"/>
        <w:spacing w:after="0" w:line="360" w:lineRule="auto"/>
        <w:ind w:firstLine="376" w:firstLineChars="171"/>
        <w:rPr>
          <w:rFonts w:ascii="宋体" w:hAnsi="宋体" w:eastAsia="宋体" w:cs="宋体"/>
          <w:color w:val="auto"/>
        </w:rPr>
      </w:pPr>
    </w:p>
    <w:p>
      <w:pPr>
        <w:widowControl w:val="0"/>
        <w:autoSpaceDE w:val="0"/>
        <w:autoSpaceDN w:val="0"/>
        <w:spacing w:after="0" w:line="360" w:lineRule="auto"/>
        <w:ind w:firstLine="420"/>
        <w:rPr>
          <w:rFonts w:ascii="宋体" w:hAnsi="宋体" w:eastAsia="宋体" w:cs="宋体"/>
          <w:color w:val="auto"/>
        </w:rPr>
      </w:pPr>
      <w:r>
        <w:rPr>
          <w:rFonts w:hint="eastAsia" w:ascii="宋体" w:hAnsi="宋体" w:eastAsia="宋体" w:cs="宋体"/>
          <w:color w:val="auto"/>
          <w:sz w:val="21"/>
          <w:szCs w:val="21"/>
        </w:rPr>
        <w:t>特此声明！</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 xml:space="preserve">备注：本声明函必须提供且内容不得擅自删改，否则视为无效响应。 </w:t>
      </w:r>
    </w:p>
    <w:p>
      <w:pPr>
        <w:widowControl w:val="0"/>
        <w:autoSpaceDE w:val="0"/>
        <w:autoSpaceDN w:val="0"/>
        <w:spacing w:after="0" w:line="440" w:lineRule="exact"/>
        <w:ind w:firstLine="420"/>
        <w:rPr>
          <w:rFonts w:ascii="宋体" w:hAnsi="宋体" w:eastAsia="宋体" w:cs="宋体"/>
          <w:color w:val="auto"/>
        </w:rPr>
      </w:pPr>
      <w:r>
        <w:rPr>
          <w:rFonts w:hint="eastAsia" w:ascii="宋体" w:hAnsi="宋体" w:eastAsia="宋体" w:cs="宋体"/>
          <w:color w:val="auto"/>
          <w:sz w:val="21"/>
          <w:szCs w:val="21"/>
        </w:rPr>
        <w:t>单位名称（单位盖公章）：　　　　　　　　　　　　　　</w:t>
      </w:r>
    </w:p>
    <w:p>
      <w:pPr>
        <w:widowControl w:val="0"/>
        <w:autoSpaceDE w:val="0"/>
        <w:autoSpaceDN w:val="0"/>
        <w:spacing w:after="0" w:line="440" w:lineRule="exact"/>
        <w:ind w:firstLine="420"/>
        <w:rPr>
          <w:rFonts w:ascii="宋体" w:hAnsi="宋体" w:eastAsia="宋体" w:cs="宋体"/>
          <w:color w:val="auto"/>
        </w:rPr>
      </w:pPr>
      <w:r>
        <w:rPr>
          <w:rFonts w:hint="eastAsia" w:ascii="宋体" w:hAnsi="宋体" w:eastAsia="宋体" w:cs="宋体"/>
          <w:color w:val="auto"/>
          <w:sz w:val="21"/>
          <w:szCs w:val="21"/>
        </w:rPr>
        <w:t>单位地址：　　　　　　　　　　　　　　　</w:t>
      </w:r>
    </w:p>
    <w:p>
      <w:pPr>
        <w:widowControl w:val="0"/>
        <w:autoSpaceDE w:val="0"/>
        <w:autoSpaceDN w:val="0"/>
        <w:spacing w:after="0" w:line="440" w:lineRule="exact"/>
        <w:ind w:firstLine="420"/>
        <w:rPr>
          <w:rFonts w:ascii="宋体" w:hAnsi="宋体" w:eastAsia="宋体" w:cs="宋体"/>
          <w:color w:val="auto"/>
        </w:rPr>
      </w:pPr>
      <w:r>
        <w:rPr>
          <w:rFonts w:hint="eastAsia" w:ascii="宋体" w:hAnsi="宋体" w:eastAsia="宋体" w:cs="宋体"/>
          <w:color w:val="auto"/>
          <w:sz w:val="21"/>
          <w:szCs w:val="21"/>
        </w:rPr>
        <w:t>日期：</w:t>
      </w:r>
    </w:p>
    <w:p>
      <w:pPr>
        <w:widowControl w:val="0"/>
        <w:autoSpaceDE w:val="0"/>
        <w:autoSpaceDN w:val="0"/>
        <w:spacing w:after="0" w:line="360" w:lineRule="auto"/>
        <w:ind w:firstLine="420"/>
        <w:rPr>
          <w:color w:val="auto"/>
        </w:rPr>
      </w:pPr>
    </w:p>
    <w:p>
      <w:pPr>
        <w:widowControl w:val="0"/>
        <w:autoSpaceDN w:val="0"/>
        <w:adjustRightInd/>
        <w:spacing w:after="0" w:line="440" w:lineRule="exact"/>
        <w:ind w:left="780"/>
        <w:jc w:val="both"/>
        <w:rPr>
          <w:rFonts w:ascii="宋体" w:hAnsi="宋体" w:eastAsia="宋体" w:cs="宋体"/>
          <w:color w:val="auto"/>
        </w:rPr>
      </w:pPr>
      <w:r>
        <w:rPr>
          <w:rFonts w:hint="eastAsia" w:ascii="黑体" w:hAnsi="Times New Roman" w:eastAsia="黑体" w:cs="Times New Roman"/>
          <w:b/>
          <w:color w:val="auto"/>
          <w:sz w:val="28"/>
          <w:szCs w:val="21"/>
        </w:rPr>
        <w:br w:type="page"/>
      </w:r>
      <w:bookmarkStart w:id="54" w:name="_Toc410738979"/>
      <w:bookmarkStart w:id="55" w:name="_Toc410736180"/>
    </w:p>
    <w:bookmarkEnd w:id="54"/>
    <w:bookmarkEnd w:id="55"/>
    <w:p>
      <w:pPr>
        <w:pStyle w:val="2"/>
        <w:widowControl/>
        <w:adjustRightInd w:val="0"/>
        <w:spacing w:beforeLines="50" w:afterLines="50" w:line="360" w:lineRule="auto"/>
        <w:jc w:val="center"/>
        <w:rPr>
          <w:b w:val="0"/>
          <w:bCs/>
          <w:color w:val="auto"/>
        </w:rPr>
      </w:pPr>
      <w:bookmarkStart w:id="56" w:name="_Toc416771369"/>
      <w:bookmarkStart w:id="57" w:name="_Toc50737297"/>
      <w:bookmarkStart w:id="58" w:name="_Toc52165081"/>
      <w:bookmarkStart w:id="59" w:name="_Toc275865607"/>
      <w:bookmarkStart w:id="60" w:name="_Toc410738980"/>
      <w:bookmarkStart w:id="61" w:name="_Toc410736181"/>
      <w:bookmarkStart w:id="62" w:name="_Toc50736477"/>
      <w:bookmarkStart w:id="63" w:name="_Toc416770259"/>
      <w:bookmarkStart w:id="64" w:name="_Toc50737329"/>
      <w:bookmarkStart w:id="65" w:name="_Toc50691034"/>
      <w:bookmarkStart w:id="66" w:name="_Toc50736476"/>
      <w:bookmarkStart w:id="67" w:name="_Toc52165080"/>
      <w:bookmarkStart w:id="68" w:name="_Toc50737296"/>
      <w:bookmarkStart w:id="69" w:name="_Toc50737328"/>
      <w:r>
        <w:rPr>
          <w:rFonts w:hint="eastAsia" w:cs="黑体"/>
          <w:b w:val="0"/>
          <w:bCs/>
          <w:color w:val="auto"/>
        </w:rPr>
        <w:t>法定代表人授权委托书</w:t>
      </w:r>
      <w:bookmarkEnd w:id="56"/>
      <w:bookmarkEnd w:id="57"/>
      <w:bookmarkEnd w:id="58"/>
      <w:bookmarkEnd w:id="59"/>
      <w:bookmarkEnd w:id="60"/>
      <w:bookmarkEnd w:id="61"/>
      <w:bookmarkEnd w:id="62"/>
      <w:bookmarkEnd w:id="63"/>
      <w:bookmarkEnd w:id="64"/>
    </w:p>
    <w:p>
      <w:pPr>
        <w:pStyle w:val="8"/>
        <w:widowControl/>
        <w:adjustRightInd w:val="0"/>
        <w:spacing w:line="440" w:lineRule="exact"/>
        <w:ind w:firstLine="420" w:firstLineChars="200"/>
        <w:rPr>
          <w:rFonts w:hint="default"/>
          <w:color w:val="auto"/>
          <w:sz w:val="21"/>
        </w:rPr>
      </w:pPr>
      <w:r>
        <w:rPr>
          <w:color w:val="auto"/>
          <w:sz w:val="21"/>
        </w:rPr>
        <w:t>本授权委托书声明：注册于</w:t>
      </w:r>
      <w:r>
        <w:rPr>
          <w:color w:val="auto"/>
          <w:sz w:val="21"/>
          <w:u w:val="single"/>
        </w:rPr>
        <w:t xml:space="preserve"> （响应供应商地址）  </w:t>
      </w:r>
      <w:r>
        <w:rPr>
          <w:color w:val="auto"/>
          <w:sz w:val="21"/>
        </w:rPr>
        <w:t>的</w:t>
      </w:r>
      <w:r>
        <w:rPr>
          <w:color w:val="auto"/>
          <w:sz w:val="21"/>
          <w:u w:val="single"/>
        </w:rPr>
        <w:t xml:space="preserve">  （响应供应商名称）    </w:t>
      </w:r>
      <w:r>
        <w:rPr>
          <w:color w:val="auto"/>
          <w:sz w:val="21"/>
        </w:rPr>
        <w:t>在下面签名的</w:t>
      </w:r>
      <w:r>
        <w:rPr>
          <w:color w:val="auto"/>
          <w:sz w:val="21"/>
          <w:u w:val="single"/>
        </w:rPr>
        <w:t>（法定代表人姓名、职务）</w:t>
      </w:r>
      <w:r>
        <w:rPr>
          <w:color w:val="auto"/>
          <w:sz w:val="21"/>
        </w:rPr>
        <w:t>在此授权</w:t>
      </w:r>
      <w:r>
        <w:rPr>
          <w:color w:val="auto"/>
          <w:sz w:val="21"/>
          <w:u w:val="single"/>
        </w:rPr>
        <w:t>（被授权人姓名、职务）</w:t>
      </w:r>
      <w:r>
        <w:rPr>
          <w:color w:val="auto"/>
          <w:sz w:val="21"/>
        </w:rPr>
        <w:t>作为我公司的合法代理人，就</w:t>
      </w:r>
      <w:r>
        <w:rPr>
          <w:color w:val="auto"/>
          <w:sz w:val="21"/>
          <w:u w:val="single"/>
        </w:rPr>
        <w:t xml:space="preserve">  （项目名称）   </w:t>
      </w:r>
      <w:r>
        <w:rPr>
          <w:color w:val="auto"/>
          <w:sz w:val="21"/>
        </w:rPr>
        <w:t>（项目编号：（项目编号））的磋商活动，提交响应文件及采购合同的签订、执行、完成和售后服务，作为响应供应商代表以我方的名义处理一切与之有关的事务。</w:t>
      </w:r>
    </w:p>
    <w:p>
      <w:pPr>
        <w:pStyle w:val="8"/>
        <w:widowControl/>
        <w:adjustRightInd w:val="0"/>
        <w:spacing w:line="440" w:lineRule="exact"/>
        <w:ind w:firstLine="420" w:firstLineChars="200"/>
        <w:rPr>
          <w:rFonts w:hint="default"/>
          <w:color w:val="auto"/>
          <w:sz w:val="21"/>
        </w:rPr>
      </w:pPr>
      <w:r>
        <w:rPr>
          <w:color w:val="auto"/>
          <w:sz w:val="21"/>
        </w:rPr>
        <w:t>被授权人（响应供应商授权代表）无转委托权限。</w:t>
      </w:r>
    </w:p>
    <w:p>
      <w:pPr>
        <w:widowControl w:val="0"/>
        <w:autoSpaceDE w:val="0"/>
        <w:autoSpaceDN w:val="0"/>
        <w:spacing w:after="0" w:line="440" w:lineRule="exact"/>
        <w:ind w:firstLine="420" w:firstLineChars="200"/>
        <w:rPr>
          <w:rFonts w:ascii="宋体" w:hAnsi="Times New Roman" w:eastAsia="宋体" w:cs="宋体"/>
          <w:color w:val="auto"/>
        </w:rPr>
      </w:pPr>
      <w:r>
        <w:rPr>
          <w:rFonts w:hint="eastAsia" w:ascii="宋体" w:hAnsi="Times New Roman" w:eastAsia="宋体" w:cs="宋体"/>
          <w:color w:val="auto"/>
          <w:sz w:val="21"/>
          <w:szCs w:val="21"/>
        </w:rPr>
        <w:t>本授权书自法定代表人签字（盖章）之日起生效，特此声明。</w:t>
      </w:r>
    </w:p>
    <w:p>
      <w:pPr>
        <w:widowControl w:val="0"/>
        <w:autoSpaceDE w:val="0"/>
        <w:autoSpaceDN w:val="0"/>
        <w:spacing w:after="0" w:line="480" w:lineRule="auto"/>
        <w:ind w:left="2" w:leftChars="1" w:firstLine="1430" w:firstLineChars="650"/>
        <w:rPr>
          <w:rFonts w:ascii="宋体" w:hAnsi="宋体" w:eastAsia="宋体" w:cs="宋体"/>
          <w:color w:val="auto"/>
        </w:rPr>
      </w:pPr>
    </w:p>
    <w:p>
      <w:pPr>
        <w:widowControl w:val="0"/>
        <w:autoSpaceDE w:val="0"/>
        <w:autoSpaceDN w:val="0"/>
        <w:spacing w:after="0" w:line="360" w:lineRule="auto"/>
        <w:rPr>
          <w:rFonts w:ascii="宋体" w:hAnsi="Times New Roman" w:eastAsia="宋体" w:cs="宋体"/>
          <w:b/>
          <w:color w:val="auto"/>
        </w:rPr>
      </w:pPr>
      <w:r>
        <w:rPr>
          <w:rFonts w:hint="eastAsia" w:ascii="宋体" w:hAnsi="Times New Roman" w:eastAsia="宋体" w:cs="宋体"/>
          <w:b/>
          <w:color w:val="auto"/>
          <w:sz w:val="21"/>
          <w:szCs w:val="21"/>
        </w:rPr>
        <w:t>随附《法定代表人证明》</w:t>
      </w: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r>
        <w:rPr>
          <w:rFonts w:hint="eastAsia" w:ascii="宋体" w:hAnsi="Times New Roman" w:eastAsia="宋体" w:cs="宋体"/>
          <w:color w:val="auto"/>
          <w:sz w:val="21"/>
          <w:szCs w:val="21"/>
        </w:rPr>
        <w:t>响应供应商名称（</w:t>
      </w:r>
      <w:r>
        <w:rPr>
          <w:rFonts w:hint="eastAsia" w:ascii="宋体" w:hAnsi="宋体" w:eastAsia="宋体" w:cs="宋体"/>
          <w:color w:val="auto"/>
          <w:sz w:val="21"/>
          <w:szCs w:val="21"/>
        </w:rPr>
        <w:t>盖</w:t>
      </w:r>
      <w:r>
        <w:rPr>
          <w:rFonts w:hint="eastAsia" w:ascii="宋体" w:hAnsi="Times New Roman" w:eastAsia="宋体" w:cs="宋体"/>
          <w:color w:val="auto"/>
          <w:sz w:val="21"/>
          <w:szCs w:val="21"/>
        </w:rPr>
        <w:t>公章）：</w:t>
      </w:r>
    </w:p>
    <w:p>
      <w:pPr>
        <w:widowControl w:val="0"/>
        <w:autoSpaceDE w:val="0"/>
        <w:autoSpaceDN w:val="0"/>
        <w:spacing w:after="0" w:line="360" w:lineRule="auto"/>
        <w:rPr>
          <w:rFonts w:ascii="宋体" w:hAnsi="Times New Roman" w:eastAsia="宋体" w:cs="宋体"/>
          <w:color w:val="auto"/>
        </w:rPr>
      </w:pPr>
      <w:r>
        <w:rPr>
          <w:rFonts w:hint="eastAsia" w:ascii="宋体" w:hAnsi="Times New Roman" w:eastAsia="宋体" w:cs="宋体"/>
          <w:color w:val="auto"/>
          <w:sz w:val="21"/>
          <w:szCs w:val="21"/>
        </w:rPr>
        <w:t>地      址：</w:t>
      </w:r>
    </w:p>
    <w:p>
      <w:pPr>
        <w:widowControl w:val="0"/>
        <w:tabs>
          <w:tab w:val="left" w:pos="3780"/>
        </w:tabs>
        <w:autoSpaceDE w:val="0"/>
        <w:autoSpaceDN w:val="0"/>
        <w:spacing w:after="0" w:line="360" w:lineRule="auto"/>
        <w:rPr>
          <w:rFonts w:ascii="宋体" w:hAnsi="Times New Roman" w:eastAsia="宋体" w:cs="宋体"/>
          <w:color w:val="auto"/>
        </w:rPr>
      </w:pPr>
      <w:r>
        <w:rPr>
          <w:rFonts w:hint="eastAsia" w:ascii="宋体" w:hAnsi="Times New Roman" w:eastAsia="宋体" w:cs="宋体"/>
          <w:color w:val="auto"/>
          <w:sz w:val="21"/>
          <w:szCs w:val="21"/>
        </w:rPr>
        <w:t>法定代表人（签字或盖章）：                         签字日期：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pPr>
        <w:widowControl w:val="0"/>
        <w:autoSpaceDE w:val="0"/>
        <w:autoSpaceDN w:val="0"/>
        <w:spacing w:after="0" w:line="360" w:lineRule="auto"/>
        <w:ind w:left="1214" w:leftChars="552" w:firstLine="2261"/>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r>
        <w:rPr>
          <w:rFonts w:ascii="Times New Roman" w:hAnsi="Times New Roman" w:eastAsia="宋体" w:cs="Times New Roman"/>
          <w:color w:val="auto"/>
          <w:sz w:val="21"/>
          <w:szCs w:val="21"/>
        </w:rPr>
        <mc:AlternateContent>
          <mc:Choice Requires="wpg">
            <w:drawing>
              <wp:anchor distT="0" distB="0" distL="114300" distR="114300" simplePos="0" relativeHeight="251660288" behindDoc="0" locked="0" layoutInCell="1" allowOverlap="1">
                <wp:simplePos x="0" y="0"/>
                <wp:positionH relativeFrom="column">
                  <wp:posOffset>130810</wp:posOffset>
                </wp:positionH>
                <wp:positionV relativeFrom="paragraph">
                  <wp:posOffset>121285</wp:posOffset>
                </wp:positionV>
                <wp:extent cx="5188585" cy="1754505"/>
                <wp:effectExtent l="4445" t="4445" r="7620" b="12700"/>
                <wp:wrapNone/>
                <wp:docPr id="4" name="组合 5"/>
                <wp:cNvGraphicFramePr/>
                <a:graphic xmlns:a="http://schemas.openxmlformats.org/drawingml/2006/main">
                  <a:graphicData uri="http://schemas.microsoft.com/office/word/2010/wordprocessingGroup">
                    <wpg:wgp>
                      <wpg:cNvGrpSpPr/>
                      <wpg:grpSpPr>
                        <a:xfrm>
                          <a:off x="0" y="0"/>
                          <a:ext cx="5188585" cy="1754505"/>
                          <a:chOff x="1350" y="9286"/>
                          <a:chExt cx="8640" cy="2759"/>
                        </a:xfrm>
                        <a:effectLst/>
                      </wpg:grpSpPr>
                      <wps:wsp>
                        <wps:cNvPr id="2" name="Rectangle 6"/>
                        <wps:cNvSpPr/>
                        <wps:spPr>
                          <a:xfrm>
                            <a:off x="1350" y="9286"/>
                            <a:ext cx="4260" cy="2759"/>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widowControl w:val="0"/>
                                <w:autoSpaceDE w:val="0"/>
                                <w:autoSpaceDN w:val="0"/>
                                <w:spacing w:after="0"/>
                                <w:ind w:left="-16" w:leftChars="-71" w:hanging="140" w:hangingChars="67"/>
                                <w:jc w:val="center"/>
                              </w:pPr>
                              <w:r>
                                <w:rPr>
                                  <w:rFonts w:hint="eastAsia" w:ascii="Times New Roman" w:hAnsi="Times New Roman" w:eastAsia="宋体" w:cs="宋体"/>
                                  <w:sz w:val="21"/>
                                  <w:szCs w:val="21"/>
                                </w:rPr>
                                <w:t>被授权人（授权代表）</w:t>
                              </w:r>
                            </w:p>
                            <w:p>
                              <w:pPr>
                                <w:widowControl w:val="0"/>
                                <w:autoSpaceDE w:val="0"/>
                                <w:autoSpaceDN w:val="0"/>
                                <w:spacing w:after="0"/>
                                <w:jc w:val="center"/>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jc w:val="center"/>
                              </w:pPr>
                              <w:r>
                                <w:rPr>
                                  <w:rFonts w:hint="eastAsia" w:ascii="Times New Roman" w:hAnsi="Times New Roman" w:eastAsia="宋体" w:cs="宋体"/>
                                  <w:sz w:val="21"/>
                                  <w:szCs w:val="21"/>
                                </w:rPr>
                                <w:t>（正面）</w:t>
                              </w:r>
                            </w:p>
                            <w:p>
                              <w:pPr>
                                <w:widowControl w:val="0"/>
                                <w:autoSpaceDE w:val="0"/>
                                <w:autoSpaceDN w:val="0"/>
                                <w:spacing w:after="0"/>
                                <w:ind w:firstLine="1100" w:firstLineChars="500"/>
                              </w:pPr>
                            </w:p>
                            <w:p>
                              <w:pPr>
                                <w:widowControl w:val="0"/>
                                <w:autoSpaceDE w:val="0"/>
                                <w:autoSpaceDN w:val="0"/>
                                <w:spacing w:after="0"/>
                              </w:pPr>
                            </w:p>
                          </w:txbxContent>
                        </wps:txbx>
                        <wps:bodyPr upright="1"/>
                      </wps:wsp>
                      <wps:wsp>
                        <wps:cNvPr id="3" name="Rectangle 7"/>
                        <wps:cNvSpPr/>
                        <wps:spPr>
                          <a:xfrm>
                            <a:off x="5754" y="9286"/>
                            <a:ext cx="4236" cy="2759"/>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widowControl w:val="0"/>
                                <w:autoSpaceDE w:val="0"/>
                                <w:autoSpaceDN w:val="0"/>
                                <w:spacing w:after="0"/>
                                <w:ind w:left="-16" w:leftChars="-71" w:hanging="140" w:hangingChars="67"/>
                                <w:jc w:val="center"/>
                              </w:pPr>
                              <w:r>
                                <w:rPr>
                                  <w:rFonts w:hint="eastAsia" w:ascii="Times New Roman" w:hAnsi="Times New Roman" w:eastAsia="宋体" w:cs="宋体"/>
                                  <w:sz w:val="21"/>
                                  <w:szCs w:val="21"/>
                                </w:rPr>
                                <w:t>被授权人（授权代表）</w:t>
                              </w:r>
                            </w:p>
                            <w:p>
                              <w:pPr>
                                <w:widowControl w:val="0"/>
                                <w:autoSpaceDE w:val="0"/>
                                <w:autoSpaceDN w:val="0"/>
                                <w:spacing w:after="0"/>
                                <w:jc w:val="center"/>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jc w:val="center"/>
                              </w:pPr>
                              <w:r>
                                <w:rPr>
                                  <w:rFonts w:hint="eastAsia" w:ascii="Times New Roman" w:hAnsi="Times New Roman" w:eastAsia="宋体" w:cs="宋体"/>
                                  <w:sz w:val="21"/>
                                  <w:szCs w:val="21"/>
                                </w:rPr>
                                <w:t>（反面）</w:t>
                              </w:r>
                            </w:p>
                            <w:p>
                              <w:pPr>
                                <w:widowControl w:val="0"/>
                                <w:autoSpaceDE w:val="0"/>
                                <w:autoSpaceDN w:val="0"/>
                                <w:spacing w:after="0"/>
                                <w:ind w:firstLine="1100" w:firstLineChars="500"/>
                              </w:pPr>
                            </w:p>
                            <w:p>
                              <w:pPr>
                                <w:widowControl w:val="0"/>
                                <w:autoSpaceDE w:val="0"/>
                                <w:autoSpaceDN w:val="0"/>
                                <w:spacing w:after="0"/>
                              </w:pPr>
                            </w:p>
                          </w:txbxContent>
                        </wps:txbx>
                        <wps:bodyPr upright="1"/>
                      </wps:wsp>
                    </wpg:wgp>
                  </a:graphicData>
                </a:graphic>
              </wp:anchor>
            </w:drawing>
          </mc:Choice>
          <mc:Fallback>
            <w:pict>
              <v:group id="组合 5" o:spid="_x0000_s1026" o:spt="203" style="position:absolute;left:0pt;margin-left:10.3pt;margin-top:9.55pt;height:138.15pt;width:408.55pt;z-index:251660288;mso-width-relative:page;mso-height-relative:page;" coordorigin="1350,9286" coordsize="8640,2759" o:gfxdata="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rERjONkAAAAJAQAADwAAAAAAAAABACAA&#10;AAAiAAAAZHJzL2Rvd25yZXYueG1sUEsBAhQAFAAAAAgAh07iQDFzJdh+AgAAiQcAAA4AAAAAAAAA&#10;AQAgAAAAKAEAAGRycy9lMm9Eb2MueG1sUEsFBgAAAAAGAAYAWQEAABgGAAAAAA==&#10;">
                <o:lock v:ext="edit" aspectratio="f"/>
                <v:rect id="Rectangle 6" o:spid="_x0000_s1026" o:spt="1" style="position:absolute;left:1350;top:9286;height:2759;width:426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widowControl w:val="0"/>
                          <w:autoSpaceDE w:val="0"/>
                          <w:autoSpaceDN w:val="0"/>
                          <w:spacing w:after="0"/>
                          <w:ind w:left="-16" w:leftChars="-71" w:hanging="140" w:hangingChars="67"/>
                          <w:jc w:val="center"/>
                        </w:pPr>
                        <w:r>
                          <w:rPr>
                            <w:rFonts w:hint="eastAsia" w:ascii="Times New Roman" w:hAnsi="Times New Roman" w:eastAsia="宋体" w:cs="宋体"/>
                            <w:sz w:val="21"/>
                            <w:szCs w:val="21"/>
                          </w:rPr>
                          <w:t>被授权人（授权代表）</w:t>
                        </w:r>
                      </w:p>
                      <w:p>
                        <w:pPr>
                          <w:widowControl w:val="0"/>
                          <w:autoSpaceDE w:val="0"/>
                          <w:autoSpaceDN w:val="0"/>
                          <w:spacing w:after="0"/>
                          <w:jc w:val="center"/>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jc w:val="center"/>
                        </w:pPr>
                        <w:r>
                          <w:rPr>
                            <w:rFonts w:hint="eastAsia" w:ascii="Times New Roman" w:hAnsi="Times New Roman" w:eastAsia="宋体" w:cs="宋体"/>
                            <w:sz w:val="21"/>
                            <w:szCs w:val="21"/>
                          </w:rPr>
                          <w:t>（正面）</w:t>
                        </w:r>
                      </w:p>
                      <w:p>
                        <w:pPr>
                          <w:widowControl w:val="0"/>
                          <w:autoSpaceDE w:val="0"/>
                          <w:autoSpaceDN w:val="0"/>
                          <w:spacing w:after="0"/>
                          <w:ind w:firstLine="1100" w:firstLineChars="500"/>
                        </w:pPr>
                      </w:p>
                      <w:p>
                        <w:pPr>
                          <w:widowControl w:val="0"/>
                          <w:autoSpaceDE w:val="0"/>
                          <w:autoSpaceDN w:val="0"/>
                          <w:spacing w:after="0"/>
                        </w:pPr>
                      </w:p>
                    </w:txbxContent>
                  </v:textbox>
                </v:rect>
                <v:rect id="Rectangle 7" o:spid="_x0000_s1026" o:spt="1" style="position:absolute;left:5754;top:9286;height:2759;width:4236;"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widowControl w:val="0"/>
                          <w:autoSpaceDE w:val="0"/>
                          <w:autoSpaceDN w:val="0"/>
                          <w:spacing w:after="0"/>
                          <w:ind w:left="-16" w:leftChars="-71" w:hanging="140" w:hangingChars="67"/>
                          <w:jc w:val="center"/>
                        </w:pPr>
                        <w:r>
                          <w:rPr>
                            <w:rFonts w:hint="eastAsia" w:ascii="Times New Roman" w:hAnsi="Times New Roman" w:eastAsia="宋体" w:cs="宋体"/>
                            <w:sz w:val="21"/>
                            <w:szCs w:val="21"/>
                          </w:rPr>
                          <w:t>被授权人（授权代表）</w:t>
                        </w:r>
                      </w:p>
                      <w:p>
                        <w:pPr>
                          <w:widowControl w:val="0"/>
                          <w:autoSpaceDE w:val="0"/>
                          <w:autoSpaceDN w:val="0"/>
                          <w:spacing w:after="0"/>
                          <w:jc w:val="center"/>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jc w:val="center"/>
                        </w:pPr>
                        <w:r>
                          <w:rPr>
                            <w:rFonts w:hint="eastAsia" w:ascii="Times New Roman" w:hAnsi="Times New Roman" w:eastAsia="宋体" w:cs="宋体"/>
                            <w:sz w:val="21"/>
                            <w:szCs w:val="21"/>
                          </w:rPr>
                          <w:t>（反面）</w:t>
                        </w:r>
                      </w:p>
                      <w:p>
                        <w:pPr>
                          <w:widowControl w:val="0"/>
                          <w:autoSpaceDE w:val="0"/>
                          <w:autoSpaceDN w:val="0"/>
                          <w:spacing w:after="0"/>
                          <w:ind w:firstLine="1100" w:firstLineChars="500"/>
                        </w:pPr>
                      </w:p>
                      <w:p>
                        <w:pPr>
                          <w:widowControl w:val="0"/>
                          <w:autoSpaceDE w:val="0"/>
                          <w:autoSpaceDN w:val="0"/>
                          <w:spacing w:after="0"/>
                        </w:pPr>
                      </w:p>
                    </w:txbxContent>
                  </v:textbox>
                </v:rect>
              </v:group>
            </w:pict>
          </mc:Fallback>
        </mc:AlternateContent>
      </w: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p>
    <w:p>
      <w:pPr>
        <w:widowControl w:val="0"/>
        <w:autoSpaceDE w:val="0"/>
        <w:autoSpaceDN w:val="0"/>
        <w:spacing w:after="0" w:line="360" w:lineRule="auto"/>
        <w:rPr>
          <w:rFonts w:ascii="宋体" w:hAnsi="Times New Roman" w:eastAsia="宋体" w:cs="宋体"/>
          <w:color w:val="auto"/>
        </w:rPr>
      </w:pPr>
    </w:p>
    <w:p>
      <w:pPr>
        <w:widowControl w:val="0"/>
        <w:autoSpaceDN w:val="0"/>
        <w:adjustRightInd/>
        <w:spacing w:after="0" w:line="440" w:lineRule="exact"/>
        <w:ind w:left="780"/>
        <w:jc w:val="both"/>
        <w:rPr>
          <w:rFonts w:ascii="黑体" w:hAnsi="Times New Roman" w:eastAsia="黑体" w:cs="黑体"/>
          <w:color w:val="auto"/>
        </w:rPr>
      </w:pPr>
      <w:r>
        <w:rPr>
          <w:rFonts w:hint="eastAsia" w:ascii="宋体" w:hAnsi="Times New Roman" w:eastAsia="宋体" w:cs="Times New Roman"/>
          <w:color w:val="auto"/>
          <w:sz w:val="21"/>
          <w:szCs w:val="21"/>
        </w:rPr>
        <w:br w:type="page"/>
      </w:r>
    </w:p>
    <w:p>
      <w:pPr>
        <w:pStyle w:val="2"/>
        <w:widowControl/>
        <w:adjustRightInd w:val="0"/>
        <w:spacing w:beforeLines="50" w:afterLines="50" w:line="360" w:lineRule="auto"/>
        <w:jc w:val="center"/>
        <w:rPr>
          <w:b w:val="0"/>
          <w:bCs/>
          <w:color w:val="auto"/>
        </w:rPr>
      </w:pPr>
      <w:bookmarkStart w:id="70" w:name="_Toc410736182"/>
      <w:bookmarkStart w:id="71" w:name="_Toc410738981"/>
      <w:bookmarkStart w:id="72" w:name="_Toc416770260"/>
      <w:bookmarkStart w:id="73" w:name="_Toc416771370"/>
      <w:bookmarkStart w:id="74" w:name="_Toc275865608"/>
      <w:r>
        <w:rPr>
          <w:rFonts w:hint="eastAsia" w:cs="黑体"/>
          <w:b w:val="0"/>
          <w:bCs/>
          <w:color w:val="auto"/>
        </w:rPr>
        <w:t>法定代表人证明书</w:t>
      </w:r>
      <w:bookmarkEnd w:id="65"/>
      <w:bookmarkEnd w:id="66"/>
      <w:bookmarkEnd w:id="67"/>
      <w:bookmarkEnd w:id="68"/>
      <w:bookmarkEnd w:id="69"/>
      <w:bookmarkEnd w:id="70"/>
      <w:bookmarkEnd w:id="71"/>
      <w:bookmarkEnd w:id="72"/>
      <w:bookmarkEnd w:id="73"/>
      <w:bookmarkEnd w:id="74"/>
    </w:p>
    <w:p>
      <w:pPr>
        <w:widowControl w:val="0"/>
        <w:tabs>
          <w:tab w:val="left" w:pos="900"/>
        </w:tabs>
        <w:autoSpaceDE w:val="0"/>
        <w:autoSpaceDN w:val="0"/>
        <w:spacing w:after="0" w:line="480" w:lineRule="auto"/>
        <w:ind w:firstLine="945" w:firstLineChars="450"/>
        <w:rPr>
          <w:rFonts w:ascii="宋体" w:hAnsi="宋体" w:eastAsia="宋体" w:cs="宋体"/>
          <w:color w:val="auto"/>
        </w:rPr>
      </w:pPr>
      <w:r>
        <w:rPr>
          <w:rFonts w:hint="eastAsia" w:ascii="宋体" w:hAnsi="宋体" w:eastAsia="宋体" w:cs="宋体"/>
          <w:color w:val="auto"/>
          <w:sz w:val="21"/>
          <w:szCs w:val="21"/>
        </w:rPr>
        <w:t>______________同志，现任我单位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职务，为法定代表人，特此证明。</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Times New Roman" w:eastAsia="宋体" w:cs="宋体"/>
          <w:color w:val="auto"/>
          <w:sz w:val="21"/>
          <w:szCs w:val="21"/>
        </w:rPr>
        <w:t>本证明书自签发之日起生效，</w:t>
      </w:r>
      <w:r>
        <w:rPr>
          <w:rFonts w:hint="eastAsia" w:ascii="宋体" w:hAnsi="宋体" w:eastAsia="宋体" w:cs="宋体"/>
          <w:color w:val="auto"/>
          <w:sz w:val="21"/>
          <w:szCs w:val="21"/>
        </w:rPr>
        <w:t>有效期与本公司响应文件中标注的响应有效期相同。</w:t>
      </w:r>
    </w:p>
    <w:p>
      <w:pPr>
        <w:widowControl w:val="0"/>
        <w:autoSpaceDE w:val="0"/>
        <w:autoSpaceDN w:val="0"/>
        <w:spacing w:after="0" w:line="480" w:lineRule="auto"/>
        <w:ind w:firstLine="420" w:firstLineChars="200"/>
        <w:rPr>
          <w:rFonts w:ascii="宋体" w:hAnsi="宋体" w:eastAsia="宋体" w:cs="宋体"/>
          <w:color w:val="auto"/>
        </w:rPr>
      </w:pPr>
      <w:r>
        <w:rPr>
          <w:rFonts w:hint="eastAsia" w:ascii="宋体" w:hAnsi="宋体" w:eastAsia="宋体" w:cs="宋体"/>
          <w:color w:val="auto"/>
          <w:sz w:val="21"/>
          <w:szCs w:val="21"/>
        </w:rPr>
        <w:t xml:space="preserve">       </w:t>
      </w:r>
    </w:p>
    <w:p>
      <w:pPr>
        <w:widowControl w:val="0"/>
        <w:autoSpaceDE w:val="0"/>
        <w:autoSpaceDN w:val="0"/>
        <w:spacing w:after="0" w:line="480" w:lineRule="auto"/>
        <w:ind w:firstLine="420" w:firstLineChars="200"/>
        <w:rPr>
          <w:rFonts w:ascii="宋体" w:hAnsi="宋体" w:eastAsia="宋体" w:cs="宋体"/>
          <w:color w:val="auto"/>
        </w:rPr>
      </w:pPr>
      <w:r>
        <w:rPr>
          <w:rFonts w:hint="eastAsia" w:ascii="宋体" w:hAnsi="宋体" w:eastAsia="宋体" w:cs="宋体"/>
          <w:color w:val="auto"/>
          <w:sz w:val="21"/>
          <w:szCs w:val="21"/>
        </w:rPr>
        <w:t>附：</w:t>
      </w:r>
    </w:p>
    <w:p>
      <w:pPr>
        <w:widowControl w:val="0"/>
        <w:autoSpaceDE w:val="0"/>
        <w:autoSpaceDN w:val="0"/>
        <w:spacing w:after="0" w:line="480" w:lineRule="auto"/>
        <w:ind w:firstLine="840" w:firstLineChars="400"/>
        <w:rPr>
          <w:rFonts w:ascii="宋体" w:hAnsi="宋体" w:eastAsia="宋体" w:cs="宋体"/>
          <w:color w:val="auto"/>
        </w:rPr>
      </w:pPr>
      <w:r>
        <w:rPr>
          <w:rFonts w:hint="eastAsia" w:ascii="宋体" w:hAnsi="宋体" w:eastAsia="宋体" w:cs="宋体"/>
          <w:color w:val="auto"/>
          <w:sz w:val="21"/>
          <w:szCs w:val="21"/>
        </w:rPr>
        <w:t xml:space="preserve">营业执照（注册号）：                       </w:t>
      </w:r>
    </w:p>
    <w:p>
      <w:pPr>
        <w:widowControl w:val="0"/>
        <w:autoSpaceDE w:val="0"/>
        <w:autoSpaceDN w:val="0"/>
        <w:spacing w:after="0" w:line="480" w:lineRule="auto"/>
        <w:ind w:firstLine="840" w:firstLineChars="400"/>
        <w:rPr>
          <w:rFonts w:ascii="宋体" w:hAnsi="宋体" w:eastAsia="宋体" w:cs="宋体"/>
          <w:color w:val="auto"/>
        </w:rPr>
      </w:pPr>
      <w:r>
        <w:rPr>
          <w:rFonts w:hint="eastAsia" w:ascii="宋体" w:hAnsi="宋体" w:eastAsia="宋体" w:cs="宋体"/>
          <w:color w:val="auto"/>
          <w:sz w:val="21"/>
          <w:szCs w:val="21"/>
        </w:rPr>
        <w:t>经济性质：</w:t>
      </w:r>
    </w:p>
    <w:p>
      <w:pPr>
        <w:widowControl w:val="0"/>
        <w:autoSpaceDE w:val="0"/>
        <w:autoSpaceDN w:val="0"/>
        <w:spacing w:after="0" w:line="480" w:lineRule="auto"/>
        <w:ind w:firstLine="840" w:firstLineChars="400"/>
        <w:rPr>
          <w:rFonts w:ascii="宋体" w:hAnsi="宋体" w:eastAsia="宋体" w:cs="宋体"/>
          <w:color w:val="auto"/>
        </w:rPr>
      </w:pPr>
      <w:r>
        <w:rPr>
          <w:rFonts w:hint="eastAsia" w:ascii="宋体" w:hAnsi="宋体" w:eastAsia="宋体" w:cs="宋体"/>
          <w:color w:val="auto"/>
          <w:sz w:val="21"/>
          <w:szCs w:val="21"/>
        </w:rPr>
        <w:t>主营（产）：</w:t>
      </w:r>
    </w:p>
    <w:p>
      <w:pPr>
        <w:widowControl w:val="0"/>
        <w:autoSpaceDE w:val="0"/>
        <w:autoSpaceDN w:val="0"/>
        <w:spacing w:after="0" w:line="480" w:lineRule="auto"/>
        <w:ind w:firstLine="840" w:firstLineChars="400"/>
        <w:rPr>
          <w:rFonts w:ascii="宋体" w:hAnsi="宋体" w:eastAsia="宋体" w:cs="宋体"/>
          <w:color w:val="auto"/>
        </w:rPr>
      </w:pPr>
      <w:r>
        <w:rPr>
          <w:rFonts w:hint="eastAsia" w:ascii="宋体" w:hAnsi="宋体" w:eastAsia="宋体" w:cs="宋体"/>
          <w:color w:val="auto"/>
          <w:sz w:val="21"/>
          <w:szCs w:val="21"/>
        </w:rPr>
        <w:t>兼营（产）：</w:t>
      </w:r>
    </w:p>
    <w:p>
      <w:pPr>
        <w:widowControl w:val="0"/>
        <w:autoSpaceDE w:val="0"/>
        <w:autoSpaceDN w:val="0"/>
        <w:spacing w:after="0" w:line="480" w:lineRule="auto"/>
        <w:ind w:firstLine="840" w:firstLineChars="400"/>
        <w:rPr>
          <w:rFonts w:ascii="宋体" w:hAnsi="宋体" w:eastAsia="宋体" w:cs="宋体"/>
          <w:color w:val="auto"/>
        </w:rPr>
      </w:pPr>
      <w:r>
        <w:rPr>
          <w:rFonts w:ascii="Times New Roman" w:hAnsi="Times New Roman" w:eastAsia="宋体" w:cs="Times New Roman"/>
          <w:color w:val="auto"/>
          <w:sz w:val="21"/>
          <w:szCs w:val="21"/>
        </w:rPr>
        <mc:AlternateContent>
          <mc:Choice Requires="wpg">
            <w:drawing>
              <wp:anchor distT="0" distB="0" distL="114300" distR="114300" simplePos="0" relativeHeight="251659264" behindDoc="0" locked="0" layoutInCell="1" allowOverlap="1">
                <wp:simplePos x="0" y="0"/>
                <wp:positionH relativeFrom="column">
                  <wp:posOffset>226060</wp:posOffset>
                </wp:positionH>
                <wp:positionV relativeFrom="paragraph">
                  <wp:posOffset>253365</wp:posOffset>
                </wp:positionV>
                <wp:extent cx="5188585" cy="1680210"/>
                <wp:effectExtent l="4445" t="4445" r="7620" b="10795"/>
                <wp:wrapNone/>
                <wp:docPr id="7" name="组合 2"/>
                <wp:cNvGraphicFramePr/>
                <a:graphic xmlns:a="http://schemas.openxmlformats.org/drawingml/2006/main">
                  <a:graphicData uri="http://schemas.microsoft.com/office/word/2010/wordprocessingGroup">
                    <wpg:wgp>
                      <wpg:cNvGrpSpPr/>
                      <wpg:grpSpPr>
                        <a:xfrm>
                          <a:off x="0" y="0"/>
                          <a:ext cx="5188585" cy="1680210"/>
                          <a:chOff x="1500" y="7300"/>
                          <a:chExt cx="8745" cy="2754"/>
                        </a:xfrm>
                        <a:effectLst/>
                      </wpg:grpSpPr>
                      <wps:wsp>
                        <wps:cNvPr id="5" name="Rectangle 3"/>
                        <wps:cNvSpPr/>
                        <wps:spPr>
                          <a:xfrm>
                            <a:off x="1500" y="7300"/>
                            <a:ext cx="4275" cy="2754"/>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widowControl w:val="0"/>
                                <w:autoSpaceDE w:val="0"/>
                                <w:autoSpaceDN w:val="0"/>
                                <w:spacing w:after="0"/>
                                <w:ind w:firstLine="880" w:firstLineChars="400"/>
                              </w:pPr>
                            </w:p>
                            <w:p>
                              <w:pPr>
                                <w:widowControl w:val="0"/>
                                <w:autoSpaceDE w:val="0"/>
                                <w:autoSpaceDN w:val="0"/>
                                <w:spacing w:after="0"/>
                                <w:ind w:firstLine="1680" w:firstLineChars="800"/>
                              </w:pPr>
                              <w:r>
                                <w:rPr>
                                  <w:rFonts w:hint="eastAsia" w:ascii="Times New Roman" w:hAnsi="Times New Roman" w:eastAsia="宋体" w:cs="宋体"/>
                                  <w:sz w:val="21"/>
                                  <w:szCs w:val="21"/>
                                </w:rPr>
                                <w:t>法定代表人</w:t>
                              </w:r>
                            </w:p>
                            <w:p>
                              <w:pPr>
                                <w:widowControl w:val="0"/>
                                <w:autoSpaceDE w:val="0"/>
                                <w:autoSpaceDN w:val="0"/>
                                <w:spacing w:after="0"/>
                                <w:ind w:firstLine="1050" w:firstLineChars="500"/>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ind w:firstLine="1785" w:firstLineChars="850"/>
                              </w:pPr>
                              <w:r>
                                <w:rPr>
                                  <w:rFonts w:hint="eastAsia" w:ascii="Times New Roman" w:hAnsi="Times New Roman" w:eastAsia="宋体" w:cs="宋体"/>
                                  <w:sz w:val="21"/>
                                  <w:szCs w:val="21"/>
                                </w:rPr>
                                <w:t>（正面）</w:t>
                              </w:r>
                            </w:p>
                            <w:p>
                              <w:pPr>
                                <w:widowControl w:val="0"/>
                                <w:autoSpaceDE w:val="0"/>
                                <w:autoSpaceDN w:val="0"/>
                                <w:spacing w:after="0"/>
                                <w:ind w:firstLine="1100" w:firstLineChars="500"/>
                              </w:pPr>
                            </w:p>
                          </w:txbxContent>
                        </wps:txbx>
                        <wps:bodyPr upright="1"/>
                      </wps:wsp>
                      <wps:wsp>
                        <wps:cNvPr id="6" name="Rectangle 4"/>
                        <wps:cNvSpPr/>
                        <wps:spPr>
                          <a:xfrm>
                            <a:off x="5956" y="7300"/>
                            <a:ext cx="4289" cy="2754"/>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widowControl w:val="0"/>
                                <w:autoSpaceDE w:val="0"/>
                                <w:autoSpaceDN w:val="0"/>
                                <w:spacing w:after="0"/>
                                <w:ind w:firstLine="880" w:firstLineChars="400"/>
                              </w:pPr>
                            </w:p>
                            <w:p>
                              <w:pPr>
                                <w:widowControl w:val="0"/>
                                <w:autoSpaceDE w:val="0"/>
                                <w:autoSpaceDN w:val="0"/>
                                <w:spacing w:after="0"/>
                                <w:ind w:firstLine="1680" w:firstLineChars="800"/>
                              </w:pPr>
                              <w:r>
                                <w:rPr>
                                  <w:rFonts w:hint="eastAsia" w:ascii="Times New Roman" w:hAnsi="Times New Roman" w:eastAsia="宋体" w:cs="宋体"/>
                                  <w:sz w:val="21"/>
                                  <w:szCs w:val="21"/>
                                </w:rPr>
                                <w:t>法定代表人</w:t>
                              </w:r>
                            </w:p>
                            <w:p>
                              <w:pPr>
                                <w:widowControl w:val="0"/>
                                <w:autoSpaceDE w:val="0"/>
                                <w:autoSpaceDN w:val="0"/>
                                <w:spacing w:after="0"/>
                                <w:ind w:firstLine="1050" w:firstLineChars="500"/>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ind w:firstLine="1785" w:firstLineChars="850"/>
                              </w:pPr>
                              <w:r>
                                <w:rPr>
                                  <w:rFonts w:hint="eastAsia" w:ascii="Times New Roman" w:hAnsi="Times New Roman" w:eastAsia="宋体" w:cs="宋体"/>
                                  <w:sz w:val="21"/>
                                  <w:szCs w:val="21"/>
                                </w:rPr>
                                <w:t>（反面）</w:t>
                              </w:r>
                            </w:p>
                            <w:p>
                              <w:pPr>
                                <w:widowControl w:val="0"/>
                                <w:autoSpaceDE w:val="0"/>
                                <w:autoSpaceDN w:val="0"/>
                                <w:spacing w:after="0"/>
                                <w:ind w:firstLine="1100" w:firstLineChars="500"/>
                              </w:pPr>
                            </w:p>
                          </w:txbxContent>
                        </wps:txbx>
                        <wps:bodyPr upright="1"/>
                      </wps:wsp>
                    </wpg:wgp>
                  </a:graphicData>
                </a:graphic>
              </wp:anchor>
            </w:drawing>
          </mc:Choice>
          <mc:Fallback>
            <w:pict>
              <v:group id="组合 2" o:spid="_x0000_s1026" o:spt="203" style="position:absolute;left:0pt;margin-left:17.8pt;margin-top:19.95pt;height:132.3pt;width:408.55pt;z-index:251659264;mso-width-relative:page;mso-height-relative:page;" coordorigin="1500,7300" coordsize="8745,2754" o:gfxdata="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Iop7p2gAAAAkBAAAPAAAAAAAAAAEAIAAA&#10;ACIAAABkcnMvZG93bnJldi54bWxQSwECFAAUAAAACACHTuJAJcqk+HwCAACJBwAADgAAAAAAAAAB&#10;ACAAAAApAQAAZHJzL2Uyb0RvYy54bWxQSwUGAAAAAAYABgBZAQAAFwYAAAAA&#10;">
                <o:lock v:ext="edit" aspectratio="f"/>
                <v:rect id="Rectangle 3" o:spid="_x0000_s1026" o:spt="1" style="position:absolute;left:1500;top:7300;height:2754;width:4275;"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widowControl w:val="0"/>
                          <w:autoSpaceDE w:val="0"/>
                          <w:autoSpaceDN w:val="0"/>
                          <w:spacing w:after="0"/>
                          <w:ind w:firstLine="880" w:firstLineChars="400"/>
                        </w:pPr>
                      </w:p>
                      <w:p>
                        <w:pPr>
                          <w:widowControl w:val="0"/>
                          <w:autoSpaceDE w:val="0"/>
                          <w:autoSpaceDN w:val="0"/>
                          <w:spacing w:after="0"/>
                          <w:ind w:firstLine="1680" w:firstLineChars="800"/>
                        </w:pPr>
                        <w:r>
                          <w:rPr>
                            <w:rFonts w:hint="eastAsia" w:ascii="Times New Roman" w:hAnsi="Times New Roman" w:eastAsia="宋体" w:cs="宋体"/>
                            <w:sz w:val="21"/>
                            <w:szCs w:val="21"/>
                          </w:rPr>
                          <w:t>法定代表人</w:t>
                        </w:r>
                      </w:p>
                      <w:p>
                        <w:pPr>
                          <w:widowControl w:val="0"/>
                          <w:autoSpaceDE w:val="0"/>
                          <w:autoSpaceDN w:val="0"/>
                          <w:spacing w:after="0"/>
                          <w:ind w:firstLine="1050" w:firstLineChars="500"/>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ind w:firstLine="1785" w:firstLineChars="850"/>
                        </w:pPr>
                        <w:r>
                          <w:rPr>
                            <w:rFonts w:hint="eastAsia" w:ascii="Times New Roman" w:hAnsi="Times New Roman" w:eastAsia="宋体" w:cs="宋体"/>
                            <w:sz w:val="21"/>
                            <w:szCs w:val="21"/>
                          </w:rPr>
                          <w:t>（正面）</w:t>
                        </w:r>
                      </w:p>
                      <w:p>
                        <w:pPr>
                          <w:widowControl w:val="0"/>
                          <w:autoSpaceDE w:val="0"/>
                          <w:autoSpaceDN w:val="0"/>
                          <w:spacing w:after="0"/>
                          <w:ind w:firstLine="1100" w:firstLineChars="500"/>
                        </w:pPr>
                      </w:p>
                    </w:txbxContent>
                  </v:textbox>
                </v:rect>
                <v:rect id="Rectangle 4" o:spid="_x0000_s1026" o:spt="1" style="position:absolute;left:5956;top:7300;height:2754;width:4289;"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widowControl w:val="0"/>
                          <w:autoSpaceDE w:val="0"/>
                          <w:autoSpaceDN w:val="0"/>
                          <w:spacing w:after="0"/>
                          <w:ind w:firstLine="880" w:firstLineChars="400"/>
                        </w:pPr>
                      </w:p>
                      <w:p>
                        <w:pPr>
                          <w:widowControl w:val="0"/>
                          <w:autoSpaceDE w:val="0"/>
                          <w:autoSpaceDN w:val="0"/>
                          <w:spacing w:after="0"/>
                          <w:ind w:firstLine="1680" w:firstLineChars="800"/>
                        </w:pPr>
                        <w:r>
                          <w:rPr>
                            <w:rFonts w:hint="eastAsia" w:ascii="Times New Roman" w:hAnsi="Times New Roman" w:eastAsia="宋体" w:cs="宋体"/>
                            <w:sz w:val="21"/>
                            <w:szCs w:val="21"/>
                          </w:rPr>
                          <w:t>法定代表人</w:t>
                        </w:r>
                      </w:p>
                      <w:p>
                        <w:pPr>
                          <w:widowControl w:val="0"/>
                          <w:autoSpaceDE w:val="0"/>
                          <w:autoSpaceDN w:val="0"/>
                          <w:spacing w:after="0"/>
                          <w:ind w:firstLine="1050" w:firstLineChars="500"/>
                        </w:pPr>
                        <w:r>
                          <w:rPr>
                            <w:rFonts w:hint="eastAsia" w:ascii="Times New Roman" w:hAnsi="Times New Roman" w:eastAsia="宋体" w:cs="宋体"/>
                            <w:sz w:val="21"/>
                            <w:szCs w:val="21"/>
                          </w:rPr>
                          <w:t>居民身份证复印件粘贴处</w:t>
                        </w:r>
                      </w:p>
                      <w:p>
                        <w:pPr>
                          <w:widowControl w:val="0"/>
                          <w:autoSpaceDE w:val="0"/>
                          <w:autoSpaceDN w:val="0"/>
                          <w:spacing w:after="0"/>
                          <w:ind w:firstLine="1100" w:firstLineChars="500"/>
                        </w:pPr>
                      </w:p>
                      <w:p>
                        <w:pPr>
                          <w:widowControl w:val="0"/>
                          <w:autoSpaceDE w:val="0"/>
                          <w:autoSpaceDN w:val="0"/>
                          <w:spacing w:after="0"/>
                          <w:ind w:firstLine="1785" w:firstLineChars="850"/>
                        </w:pPr>
                        <w:r>
                          <w:rPr>
                            <w:rFonts w:hint="eastAsia" w:ascii="Times New Roman" w:hAnsi="Times New Roman" w:eastAsia="宋体" w:cs="宋体"/>
                            <w:sz w:val="21"/>
                            <w:szCs w:val="21"/>
                          </w:rPr>
                          <w:t>（反面）</w:t>
                        </w:r>
                      </w:p>
                      <w:p>
                        <w:pPr>
                          <w:widowControl w:val="0"/>
                          <w:autoSpaceDE w:val="0"/>
                          <w:autoSpaceDN w:val="0"/>
                          <w:spacing w:after="0"/>
                          <w:ind w:firstLine="1100" w:firstLineChars="500"/>
                        </w:pPr>
                      </w:p>
                    </w:txbxContent>
                  </v:textbox>
                </v:rect>
              </v:group>
            </w:pict>
          </mc:Fallback>
        </mc:AlternateContent>
      </w: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p>
    <w:p>
      <w:pPr>
        <w:widowControl w:val="0"/>
        <w:autoSpaceDE w:val="0"/>
        <w:autoSpaceDN w:val="0"/>
        <w:spacing w:after="0" w:line="500" w:lineRule="exact"/>
        <w:rPr>
          <w:rFonts w:ascii="宋体" w:hAnsi="Times New Roman" w:eastAsia="宋体" w:cs="宋体"/>
          <w:b/>
          <w:color w:val="auto"/>
        </w:rPr>
      </w:pPr>
      <w:r>
        <w:rPr>
          <w:rFonts w:hint="eastAsia" w:ascii="宋体" w:hAnsi="Times New Roman" w:eastAsia="宋体" w:cs="宋体"/>
          <w:b/>
          <w:color w:val="auto"/>
          <w:sz w:val="21"/>
          <w:szCs w:val="21"/>
        </w:rPr>
        <w:t xml:space="preserve">                         </w:t>
      </w:r>
    </w:p>
    <w:p>
      <w:pPr>
        <w:widowControl w:val="0"/>
        <w:autoSpaceDE w:val="0"/>
        <w:autoSpaceDN w:val="0"/>
        <w:spacing w:after="0" w:line="500" w:lineRule="exact"/>
        <w:rPr>
          <w:rFonts w:ascii="宋体" w:hAnsi="宋体" w:eastAsia="宋体" w:cs="宋体"/>
          <w:color w:val="auto"/>
        </w:rPr>
      </w:pPr>
      <w:r>
        <w:rPr>
          <w:rFonts w:hint="eastAsia" w:ascii="宋体" w:hAnsi="Times New Roman" w:eastAsia="宋体" w:cs="宋体"/>
          <w:b/>
          <w:color w:val="auto"/>
          <w:sz w:val="21"/>
          <w:szCs w:val="21"/>
        </w:rPr>
        <w:t xml:space="preserve">                                           </w:t>
      </w:r>
      <w:r>
        <w:rPr>
          <w:rFonts w:hint="eastAsia" w:ascii="宋体" w:hAnsi="宋体" w:eastAsia="宋体" w:cs="宋体"/>
          <w:color w:val="auto"/>
          <w:sz w:val="21"/>
          <w:szCs w:val="21"/>
        </w:rPr>
        <w:t>响应供应商名称：（盖公章）：</w:t>
      </w:r>
    </w:p>
    <w:p>
      <w:pPr>
        <w:widowControl w:val="0"/>
        <w:autoSpaceDE w:val="0"/>
        <w:autoSpaceDN w:val="0"/>
        <w:spacing w:after="0" w:line="500" w:lineRule="exact"/>
        <w:rPr>
          <w:rFonts w:ascii="宋体" w:hAnsi="宋体" w:eastAsia="宋体" w:cs="宋体"/>
          <w:color w:val="auto"/>
        </w:rPr>
      </w:pPr>
      <w:r>
        <w:rPr>
          <w:rFonts w:hint="eastAsia" w:ascii="宋体" w:hAnsi="宋体" w:eastAsia="宋体" w:cs="宋体"/>
          <w:color w:val="auto"/>
          <w:sz w:val="21"/>
          <w:szCs w:val="21"/>
        </w:rPr>
        <w:t xml:space="preserve">                                           地址：</w:t>
      </w:r>
    </w:p>
    <w:p>
      <w:pPr>
        <w:widowControl w:val="0"/>
        <w:autoSpaceDE w:val="0"/>
        <w:autoSpaceDN w:val="0"/>
        <w:spacing w:after="0" w:line="500" w:lineRule="exact"/>
        <w:rPr>
          <w:rFonts w:ascii="宋体" w:hAnsi="宋体" w:eastAsia="宋体" w:cs="宋体"/>
          <w:color w:val="auto"/>
        </w:rPr>
      </w:pPr>
      <w:r>
        <w:rPr>
          <w:rFonts w:hint="eastAsia" w:ascii="宋体" w:hAnsi="宋体" w:eastAsia="宋体" w:cs="宋体"/>
          <w:color w:val="auto"/>
          <w:sz w:val="21"/>
          <w:szCs w:val="21"/>
        </w:rPr>
        <w:t xml:space="preserve">                                           签发日期：</w:t>
      </w:r>
    </w:p>
    <w:p>
      <w:pPr>
        <w:widowControl w:val="0"/>
        <w:autoSpaceDN w:val="0"/>
        <w:adjustRightInd/>
        <w:spacing w:after="0" w:line="440" w:lineRule="exact"/>
        <w:jc w:val="both"/>
        <w:rPr>
          <w:rFonts w:ascii="黑体" w:hAnsi="Times New Roman" w:eastAsia="黑体" w:cs="黑体"/>
          <w:bCs/>
          <w:color w:val="auto"/>
          <w:sz w:val="28"/>
          <w:szCs w:val="21"/>
        </w:rPr>
      </w:pPr>
      <w:bookmarkStart w:id="75" w:name="_承诺函"/>
      <w:bookmarkEnd w:id="75"/>
      <w:bookmarkStart w:id="76" w:name="_Toc410736184"/>
      <w:bookmarkStart w:id="77" w:name="_Toc416771371"/>
      <w:bookmarkStart w:id="78" w:name="_Toc410738983"/>
      <w:bookmarkStart w:id="79" w:name="_Toc416770261"/>
    </w:p>
    <w:p>
      <w:pPr>
        <w:widowControl w:val="0"/>
        <w:autoSpaceDN w:val="0"/>
        <w:adjustRightInd/>
        <w:spacing w:after="0" w:line="440" w:lineRule="exact"/>
        <w:jc w:val="both"/>
        <w:rPr>
          <w:rFonts w:ascii="黑体" w:hAnsi="Times New Roman" w:eastAsia="黑体" w:cs="黑体"/>
          <w:bCs/>
          <w:color w:val="auto"/>
          <w:sz w:val="28"/>
          <w:szCs w:val="21"/>
        </w:rPr>
      </w:pPr>
    </w:p>
    <w:p>
      <w:pPr>
        <w:pStyle w:val="2"/>
        <w:widowControl/>
        <w:adjustRightInd w:val="0"/>
        <w:spacing w:beforeLines="50" w:afterLines="50" w:line="360" w:lineRule="auto"/>
        <w:jc w:val="center"/>
        <w:rPr>
          <w:b w:val="0"/>
          <w:bCs/>
          <w:color w:val="auto"/>
        </w:rPr>
      </w:pPr>
      <w:r>
        <w:rPr>
          <w:rFonts w:hint="eastAsia" w:ascii="黑体"/>
          <w:color w:val="auto"/>
          <w:sz w:val="28"/>
        </w:rPr>
        <w:br w:type="page"/>
      </w:r>
      <w:bookmarkEnd w:id="76"/>
      <w:bookmarkEnd w:id="77"/>
      <w:bookmarkEnd w:id="78"/>
      <w:bookmarkEnd w:id="79"/>
      <w:bookmarkStart w:id="80" w:name="_Toc416771374"/>
      <w:bookmarkStart w:id="81" w:name="_Toc416770264"/>
      <w:r>
        <w:rPr>
          <w:rFonts w:hint="eastAsia" w:cs="黑体"/>
          <w:b w:val="0"/>
          <w:bCs/>
          <w:color w:val="auto"/>
        </w:rPr>
        <w:t>报</w:t>
      </w:r>
      <w:r>
        <w:rPr>
          <w:b w:val="0"/>
          <w:bCs/>
          <w:color w:val="auto"/>
        </w:rPr>
        <w:t xml:space="preserve"> </w:t>
      </w:r>
      <w:r>
        <w:rPr>
          <w:rFonts w:hint="eastAsia" w:cs="黑体"/>
          <w:b w:val="0"/>
          <w:bCs/>
          <w:color w:val="auto"/>
        </w:rPr>
        <w:t>价</w:t>
      </w:r>
      <w:r>
        <w:rPr>
          <w:b w:val="0"/>
          <w:bCs/>
          <w:color w:val="auto"/>
        </w:rPr>
        <w:t xml:space="preserve"> </w:t>
      </w:r>
      <w:r>
        <w:rPr>
          <w:rFonts w:hint="eastAsia" w:cs="黑体"/>
          <w:b w:val="0"/>
          <w:bCs/>
          <w:color w:val="auto"/>
        </w:rPr>
        <w:t>表</w:t>
      </w:r>
      <w:bookmarkEnd w:id="80"/>
      <w:bookmarkEnd w:id="81"/>
    </w:p>
    <w:p>
      <w:pPr>
        <w:widowControl w:val="0"/>
        <w:autoSpaceDE w:val="0"/>
        <w:autoSpaceDN w:val="0"/>
        <w:spacing w:after="0"/>
        <w:jc w:val="center"/>
        <w:rPr>
          <w:b/>
          <w:color w:val="auto"/>
          <w:sz w:val="24"/>
          <w:szCs w:val="21"/>
        </w:rPr>
      </w:pPr>
      <w:r>
        <w:rPr>
          <w:rFonts w:hint="eastAsia" w:ascii="Times New Roman" w:hAnsi="Times New Roman" w:eastAsia="宋体" w:cs="宋体"/>
          <w:b/>
          <w:color w:val="auto"/>
          <w:sz w:val="24"/>
          <w:szCs w:val="21"/>
        </w:rPr>
        <w:t>（首次报价）</w:t>
      </w:r>
    </w:p>
    <w:p>
      <w:pPr>
        <w:widowControl w:val="0"/>
        <w:autoSpaceDE w:val="0"/>
        <w:autoSpaceDN w:val="0"/>
        <w:spacing w:after="0"/>
        <w:rPr>
          <w:rFonts w:ascii="宋体" w:hAnsi="宋体" w:eastAsia="宋体" w:cs="宋体"/>
          <w:color w:val="auto"/>
        </w:rPr>
      </w:pPr>
    </w:p>
    <w:tbl>
      <w:tblPr>
        <w:tblStyle w:val="21"/>
        <w:tblW w:w="9223" w:type="dxa"/>
        <w:jc w:val="center"/>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082"/>
        <w:gridCol w:w="1327"/>
        <w:gridCol w:w="2504"/>
        <w:gridCol w:w="231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13" w:hRule="atLeast"/>
          <w:jc w:val="center"/>
        </w:trPr>
        <w:tc>
          <w:tcPr>
            <w:tcW w:w="3082" w:type="dxa"/>
            <w:tcBorders>
              <w:tl2br w:val="nil"/>
              <w:tr2bl w:val="nil"/>
            </w:tcBorders>
            <w:shd w:val="clear" w:color="auto" w:fill="EEECE1"/>
            <w:vAlign w:val="center"/>
          </w:tcPr>
          <w:p>
            <w:pPr>
              <w:autoSpaceDE w:val="0"/>
              <w:autoSpaceDN w:val="0"/>
              <w:spacing w:after="0"/>
              <w:ind w:right="-40" w:rightChars="-18"/>
              <w:jc w:val="center"/>
              <w:rPr>
                <w:rFonts w:ascii="宋体" w:hAnsi="宋体" w:eastAsia="宋体" w:cs="宋体"/>
                <w:b/>
                <w:bCs/>
                <w:color w:val="auto"/>
                <w:kern w:val="2"/>
              </w:rPr>
            </w:pPr>
            <w:r>
              <w:rPr>
                <w:rFonts w:hint="eastAsia" w:ascii="宋体" w:hAnsi="宋体" w:eastAsia="宋体" w:cs="宋体"/>
                <w:b/>
                <w:bCs/>
                <w:color w:val="auto"/>
                <w:kern w:val="2"/>
                <w:sz w:val="21"/>
                <w:szCs w:val="21"/>
              </w:rPr>
              <w:t>采购内容</w:t>
            </w:r>
          </w:p>
        </w:tc>
        <w:tc>
          <w:tcPr>
            <w:tcW w:w="1327" w:type="dxa"/>
            <w:tcBorders>
              <w:tl2br w:val="nil"/>
              <w:tr2bl w:val="nil"/>
            </w:tcBorders>
            <w:shd w:val="clear" w:color="auto" w:fill="EEECE1"/>
            <w:vAlign w:val="center"/>
          </w:tcPr>
          <w:p>
            <w:pPr>
              <w:widowControl w:val="0"/>
              <w:autoSpaceDE w:val="0"/>
              <w:autoSpaceDN w:val="0"/>
              <w:spacing w:after="0"/>
              <w:ind w:left="-73" w:leftChars="-33" w:right="-40" w:rightChars="-18"/>
              <w:jc w:val="center"/>
              <w:rPr>
                <w:rFonts w:ascii="宋体" w:hAnsi="宋体" w:eastAsia="宋体" w:cs="宋体"/>
                <w:b/>
                <w:bCs/>
                <w:color w:val="auto"/>
                <w:kern w:val="2"/>
              </w:rPr>
            </w:pPr>
            <w:r>
              <w:rPr>
                <w:rFonts w:hint="eastAsia" w:ascii="宋体" w:hAnsi="宋体" w:eastAsia="宋体" w:cs="宋体"/>
                <w:b/>
                <w:bCs/>
                <w:color w:val="auto"/>
                <w:kern w:val="2"/>
                <w:sz w:val="21"/>
                <w:szCs w:val="21"/>
              </w:rPr>
              <w:t>数量</w:t>
            </w:r>
          </w:p>
        </w:tc>
        <w:tc>
          <w:tcPr>
            <w:tcW w:w="2504" w:type="dxa"/>
            <w:tcBorders>
              <w:tl2br w:val="nil"/>
              <w:tr2bl w:val="nil"/>
            </w:tcBorders>
            <w:shd w:val="clear" w:color="auto" w:fill="EEECE1"/>
            <w:vAlign w:val="center"/>
          </w:tcPr>
          <w:p>
            <w:pPr>
              <w:autoSpaceDE w:val="0"/>
              <w:autoSpaceDN w:val="0"/>
              <w:spacing w:after="0"/>
              <w:ind w:left="-73" w:leftChars="-33" w:right="-40" w:rightChars="-18"/>
              <w:jc w:val="center"/>
              <w:rPr>
                <w:rFonts w:ascii="宋体" w:hAnsi="宋体" w:eastAsia="宋体" w:cs="宋体"/>
                <w:b/>
                <w:bCs/>
                <w:color w:val="auto"/>
                <w:kern w:val="2"/>
              </w:rPr>
            </w:pPr>
            <w:r>
              <w:rPr>
                <w:rFonts w:hint="eastAsia" w:ascii="宋体" w:hAnsi="宋体" w:eastAsia="宋体" w:cs="宋体"/>
                <w:b/>
                <w:bCs/>
                <w:color w:val="auto"/>
                <w:kern w:val="2"/>
              </w:rPr>
              <w:t>磋商总报价</w:t>
            </w:r>
          </w:p>
          <w:p>
            <w:pPr>
              <w:autoSpaceDE w:val="0"/>
              <w:autoSpaceDN w:val="0"/>
              <w:spacing w:after="0"/>
              <w:ind w:left="-73" w:leftChars="-33" w:right="-40" w:rightChars="-18"/>
              <w:jc w:val="center"/>
              <w:rPr>
                <w:rFonts w:ascii="宋体" w:hAnsi="宋体" w:eastAsia="宋体" w:cs="宋体"/>
                <w:b/>
                <w:bCs/>
                <w:color w:val="auto"/>
                <w:kern w:val="2"/>
              </w:rPr>
            </w:pPr>
            <w:r>
              <w:rPr>
                <w:rFonts w:hint="eastAsia" w:ascii="宋体" w:hAnsi="宋体" w:eastAsia="宋体" w:cs="宋体"/>
                <w:b/>
                <w:bCs/>
                <w:color w:val="auto"/>
                <w:kern w:val="2"/>
              </w:rPr>
              <w:t>（人民币 元）</w:t>
            </w:r>
          </w:p>
        </w:tc>
        <w:tc>
          <w:tcPr>
            <w:tcW w:w="2310" w:type="dxa"/>
            <w:tcBorders>
              <w:tl2br w:val="nil"/>
              <w:tr2bl w:val="nil"/>
            </w:tcBorders>
            <w:shd w:val="clear" w:color="auto" w:fill="EEECE1"/>
            <w:vAlign w:val="center"/>
          </w:tcPr>
          <w:p>
            <w:pPr>
              <w:autoSpaceDE w:val="0"/>
              <w:autoSpaceDN w:val="0"/>
              <w:spacing w:after="0"/>
              <w:ind w:left="-73" w:leftChars="-33" w:right="-40" w:rightChars="-18"/>
              <w:jc w:val="center"/>
              <w:rPr>
                <w:rFonts w:ascii="宋体" w:hAnsi="宋体" w:eastAsia="宋体" w:cs="宋体"/>
                <w:b/>
                <w:bCs/>
                <w:color w:val="auto"/>
                <w:kern w:val="2"/>
              </w:rPr>
            </w:pPr>
            <w:r>
              <w:rPr>
                <w:rFonts w:hint="eastAsia" w:ascii="宋体" w:hAnsi="宋体" w:eastAsia="宋体" w:cs="宋体"/>
                <w:b/>
                <w:bCs/>
                <w:color w:val="auto"/>
                <w:kern w:val="2"/>
              </w:rPr>
              <w:t>服务期</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928" w:hRule="atLeast"/>
          <w:jc w:val="center"/>
        </w:trPr>
        <w:tc>
          <w:tcPr>
            <w:tcW w:w="3082" w:type="dxa"/>
            <w:tcBorders>
              <w:tl2br w:val="nil"/>
              <w:tr2bl w:val="nil"/>
            </w:tcBorders>
            <w:shd w:val="clear" w:color="auto" w:fill="auto"/>
            <w:vAlign w:val="center"/>
          </w:tcPr>
          <w:p>
            <w:pPr>
              <w:widowControl w:val="0"/>
              <w:autoSpaceDE w:val="0"/>
              <w:autoSpaceDN w:val="0"/>
              <w:spacing w:after="0"/>
              <w:ind w:left="-99" w:leftChars="-45" w:right="-73" w:rightChars="-33"/>
              <w:jc w:val="center"/>
              <w:rPr>
                <w:rFonts w:ascii="宋体" w:hAnsi="宋体" w:eastAsia="宋体" w:cs="宋体"/>
                <w:color w:val="auto"/>
                <w:kern w:val="2"/>
              </w:rPr>
            </w:pPr>
            <w:r>
              <w:rPr>
                <w:rFonts w:hint="eastAsia" w:ascii="宋体" w:hAnsi="宋体" w:eastAsia="宋体" w:cs="宋体"/>
                <w:bCs/>
                <w:color w:val="auto"/>
                <w:kern w:val="2"/>
              </w:rPr>
              <w:t>大源村开展城中村消防安全治理试点工作</w:t>
            </w:r>
          </w:p>
        </w:tc>
        <w:tc>
          <w:tcPr>
            <w:tcW w:w="1327" w:type="dxa"/>
            <w:tcBorders>
              <w:tl2br w:val="nil"/>
              <w:tr2bl w:val="nil"/>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1项</w:t>
            </w:r>
          </w:p>
        </w:tc>
        <w:tc>
          <w:tcPr>
            <w:tcW w:w="2504" w:type="dxa"/>
            <w:tcBorders>
              <w:tl2br w:val="nil"/>
              <w:tr2bl w:val="nil"/>
            </w:tcBorders>
            <w:shd w:val="clear" w:color="auto" w:fill="auto"/>
            <w:vAlign w:val="center"/>
          </w:tcPr>
          <w:p>
            <w:pPr>
              <w:rPr>
                <w:rFonts w:ascii="宋体" w:hAnsi="宋体" w:eastAsia="宋体" w:cs="宋体"/>
                <w:color w:val="auto"/>
                <w:u w:val="single"/>
              </w:rPr>
            </w:pPr>
            <w:r>
              <w:rPr>
                <w:rFonts w:hint="eastAsia" w:ascii="宋体" w:hAnsi="宋体" w:eastAsia="宋体" w:cs="宋体"/>
                <w:color w:val="auto"/>
              </w:rPr>
              <w:t xml:space="preserve">小写：RMB        </w:t>
            </w:r>
            <w:r>
              <w:rPr>
                <w:rFonts w:hint="eastAsia" w:ascii="宋体" w:hAnsi="宋体" w:eastAsia="宋体" w:cs="宋体"/>
                <w:color w:val="auto"/>
                <w:u w:val="single"/>
              </w:rPr>
              <w:t xml:space="preserve">         </w:t>
            </w:r>
          </w:p>
          <w:p>
            <w:pPr>
              <w:widowControl w:val="0"/>
              <w:autoSpaceDE w:val="0"/>
              <w:autoSpaceDN w:val="0"/>
              <w:spacing w:after="0"/>
              <w:jc w:val="both"/>
              <w:rPr>
                <w:rFonts w:ascii="宋体" w:hAnsi="宋体" w:eastAsia="宋体" w:cs="宋体"/>
                <w:color w:val="auto"/>
                <w:kern w:val="2"/>
                <w:u w:val="single"/>
              </w:rPr>
            </w:pPr>
            <w:r>
              <w:rPr>
                <w:rFonts w:hint="eastAsia" w:ascii="宋体" w:hAnsi="宋体" w:eastAsia="宋体" w:cs="宋体"/>
                <w:color w:val="auto"/>
              </w:rPr>
              <w:t>大写：</w:t>
            </w:r>
            <w:r>
              <w:rPr>
                <w:rFonts w:hint="eastAsia" w:ascii="宋体" w:hAnsi="宋体" w:eastAsia="宋体" w:cs="宋体"/>
                <w:color w:val="auto"/>
                <w:u w:val="single"/>
              </w:rPr>
              <w:t xml:space="preserve">                    </w:t>
            </w:r>
            <w:r>
              <w:rPr>
                <w:rFonts w:hint="eastAsia" w:ascii="宋体" w:hAnsi="宋体" w:eastAsia="宋体" w:cs="宋体"/>
                <w:color w:val="auto"/>
                <w:kern w:val="2"/>
                <w:u w:val="single"/>
              </w:rPr>
              <w:t xml:space="preserve">     </w:t>
            </w:r>
          </w:p>
        </w:tc>
        <w:tc>
          <w:tcPr>
            <w:tcW w:w="2310" w:type="dxa"/>
            <w:tcBorders>
              <w:tl2br w:val="nil"/>
              <w:tr2bl w:val="nil"/>
            </w:tcBorders>
            <w:shd w:val="clear" w:color="auto" w:fill="auto"/>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自合同签订之日起60日历天内</w:t>
            </w:r>
          </w:p>
        </w:tc>
      </w:tr>
    </w:tbl>
    <w:p>
      <w:pPr>
        <w:widowControl w:val="0"/>
        <w:autoSpaceDE w:val="0"/>
        <w:autoSpaceDN w:val="0"/>
        <w:spacing w:after="0"/>
        <w:rPr>
          <w:rFonts w:ascii="宋体" w:hAnsi="宋体" w:eastAsia="宋体" w:cs="宋体"/>
          <w:color w:val="auto"/>
        </w:rPr>
      </w:pPr>
    </w:p>
    <w:p>
      <w:pPr>
        <w:widowControl w:val="0"/>
        <w:autoSpaceDE w:val="0"/>
        <w:autoSpaceDN w:val="0"/>
        <w:spacing w:after="0" w:line="500" w:lineRule="exact"/>
        <w:rPr>
          <w:rFonts w:ascii="宋体" w:hAnsi="宋体" w:eastAsia="宋体" w:cs="宋体"/>
          <w:color w:val="auto"/>
          <w:u w:val="single"/>
        </w:rPr>
      </w:pPr>
      <w:r>
        <w:rPr>
          <w:rFonts w:hint="eastAsia" w:ascii="宋体" w:hAnsi="宋体" w:eastAsia="宋体" w:cs="宋体"/>
          <w:color w:val="auto"/>
          <w:spacing w:val="4"/>
          <w:sz w:val="21"/>
          <w:szCs w:val="21"/>
        </w:rPr>
        <w:t>响应供应商名称（盖公章）：</w:t>
      </w:r>
      <w:r>
        <w:rPr>
          <w:rFonts w:hint="eastAsia" w:ascii="宋体" w:hAnsi="宋体" w:eastAsia="宋体" w:cs="宋体"/>
          <w:color w:val="auto"/>
          <w:spacing w:val="4"/>
          <w:sz w:val="21"/>
          <w:szCs w:val="21"/>
          <w:u w:val="single"/>
        </w:rPr>
        <w:t xml:space="preserve">                             </w:t>
      </w:r>
    </w:p>
    <w:p>
      <w:pPr>
        <w:widowControl w:val="0"/>
        <w:autoSpaceDE w:val="0"/>
        <w:autoSpaceDN w:val="0"/>
        <w:spacing w:after="0" w:line="520" w:lineRule="exact"/>
        <w:rPr>
          <w:rFonts w:ascii="宋体" w:hAnsi="宋体" w:eastAsia="宋体" w:cs="宋体"/>
          <w:color w:val="auto"/>
          <w:spacing w:val="4"/>
          <w:u w:val="none"/>
        </w:rPr>
      </w:pPr>
      <w:r>
        <w:rPr>
          <w:rFonts w:hint="eastAsia" w:ascii="宋体" w:hAnsi="宋体" w:eastAsia="宋体" w:cs="宋体"/>
          <w:color w:val="auto"/>
          <w:sz w:val="21"/>
          <w:szCs w:val="21"/>
        </w:rPr>
        <w:t>法定代表人或响应供应商授权代表（签名或盖章）：</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 xml:space="preserve"> 职务：</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 xml:space="preserve"> 日期：</w:t>
      </w:r>
      <w:r>
        <w:rPr>
          <w:rFonts w:hint="eastAsia" w:ascii="宋体" w:hAnsi="宋体" w:eastAsia="宋体" w:cs="宋体"/>
          <w:color w:val="auto"/>
          <w:spacing w:val="4"/>
          <w:sz w:val="21"/>
          <w:szCs w:val="21"/>
          <w:u w:val="none"/>
        </w:rPr>
        <w:t xml:space="preserve">         </w:t>
      </w:r>
    </w:p>
    <w:p>
      <w:pPr>
        <w:widowControl w:val="0"/>
        <w:autoSpaceDE w:val="0"/>
        <w:autoSpaceDN w:val="0"/>
        <w:spacing w:after="0" w:line="400" w:lineRule="exact"/>
        <w:rPr>
          <w:rFonts w:ascii="宋体" w:hAnsi="宋体" w:eastAsia="宋体" w:cs="宋体"/>
          <w:b/>
          <w:color w:val="auto"/>
        </w:rPr>
      </w:pPr>
    </w:p>
    <w:p>
      <w:pPr>
        <w:widowControl w:val="0"/>
        <w:autoSpaceDE w:val="0"/>
        <w:autoSpaceDN w:val="0"/>
        <w:spacing w:after="0" w:line="400" w:lineRule="exact"/>
        <w:rPr>
          <w:rFonts w:ascii="宋体" w:hAnsi="宋体" w:eastAsia="宋体" w:cs="宋体"/>
          <w:b/>
          <w:color w:val="auto"/>
        </w:rPr>
      </w:pPr>
      <w:r>
        <w:rPr>
          <w:rFonts w:hint="eastAsia" w:ascii="宋体" w:hAnsi="宋体" w:eastAsia="宋体" w:cs="宋体"/>
          <w:b/>
          <w:color w:val="auto"/>
          <w:sz w:val="21"/>
          <w:szCs w:val="21"/>
        </w:rPr>
        <w:t>备注：</w:t>
      </w:r>
    </w:p>
    <w:p>
      <w:pPr>
        <w:widowControl w:val="0"/>
        <w:numPr>
          <w:ilvl w:val="0"/>
          <w:numId w:val="53"/>
        </w:numPr>
        <w:autoSpaceDN w:val="0"/>
        <w:adjustRightInd/>
        <w:spacing w:after="0" w:line="360" w:lineRule="auto"/>
        <w:jc w:val="both"/>
        <w:rPr>
          <w:color w:val="auto"/>
          <w:spacing w:val="4"/>
        </w:rPr>
      </w:pPr>
      <w:r>
        <w:rPr>
          <w:rFonts w:hint="eastAsia" w:ascii="Times New Roman" w:hAnsi="Times New Roman" w:eastAsia="宋体" w:cs="宋体"/>
          <w:color w:val="auto"/>
          <w:spacing w:val="4"/>
          <w:sz w:val="21"/>
          <w:szCs w:val="21"/>
        </w:rPr>
        <w:t>中文大写金额用汉字，如壹、贰、叁、肆、伍、陆、柒、捌、玖、拾、佰、仟、万、亿、元、角、分、零、整（正）等。</w:t>
      </w:r>
    </w:p>
    <w:p>
      <w:pPr>
        <w:widowControl w:val="0"/>
        <w:numPr>
          <w:ilvl w:val="0"/>
          <w:numId w:val="53"/>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磋商总报价的小数点后保留两位有效数。</w:t>
      </w:r>
    </w:p>
    <w:p>
      <w:pPr>
        <w:widowControl w:val="0"/>
        <w:numPr>
          <w:ilvl w:val="0"/>
          <w:numId w:val="53"/>
        </w:numPr>
        <w:autoSpaceDN w:val="0"/>
        <w:adjustRightInd/>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此表须附在正、副本的响应文件中。</w:t>
      </w:r>
    </w:p>
    <w:p>
      <w:pPr>
        <w:widowControl w:val="0"/>
        <w:numPr>
          <w:ilvl w:val="0"/>
          <w:numId w:val="53"/>
        </w:numPr>
        <w:autoSpaceDN w:val="0"/>
        <w:adjustRightInd/>
        <w:spacing w:after="0" w:line="360" w:lineRule="auto"/>
        <w:jc w:val="both"/>
        <w:rPr>
          <w:color w:val="auto"/>
        </w:rPr>
      </w:pPr>
      <w:r>
        <w:rPr>
          <w:rFonts w:hint="eastAsia" w:ascii="Times New Roman" w:hAnsi="Times New Roman" w:eastAsia="宋体" w:cs="宋体"/>
          <w:color w:val="auto"/>
          <w:sz w:val="21"/>
          <w:szCs w:val="21"/>
        </w:rPr>
        <w:t>所有价格均以人民币作为货币单位填写及计算。</w:t>
      </w:r>
    </w:p>
    <w:p>
      <w:pPr>
        <w:widowControl w:val="0"/>
        <w:numPr>
          <w:ilvl w:val="0"/>
          <w:numId w:val="53"/>
        </w:numPr>
        <w:tabs>
          <w:tab w:val="left" w:pos="360"/>
        </w:tabs>
        <w:autoSpaceDN w:val="0"/>
        <w:adjustRightInd/>
        <w:spacing w:after="0" w:line="360" w:lineRule="auto"/>
        <w:jc w:val="both"/>
        <w:rPr>
          <w:rFonts w:ascii="宋体" w:hAnsi="宋体" w:eastAsia="宋体" w:cs="宋体"/>
          <w:b/>
          <w:color w:val="auto"/>
        </w:rPr>
      </w:pPr>
      <w:r>
        <w:rPr>
          <w:rFonts w:hint="eastAsia" w:ascii="Times New Roman" w:hAnsi="Times New Roman" w:eastAsia="宋体" w:cs="宋体"/>
          <w:bCs/>
          <w:color w:val="auto"/>
          <w:sz w:val="21"/>
          <w:szCs w:val="21"/>
          <w:u w:val="double"/>
        </w:rPr>
        <w:t>各响应供应商可自行保留一份《首次报价》，以便报价时参考用。</w:t>
      </w:r>
    </w:p>
    <w:p>
      <w:pPr>
        <w:rPr>
          <w:rFonts w:ascii="宋体" w:hAnsi="宋体" w:eastAsia="宋体" w:cs="宋体"/>
          <w:b/>
          <w:color w:val="auto"/>
        </w:rPr>
      </w:pPr>
      <w:r>
        <w:rPr>
          <w:rFonts w:hint="eastAsia" w:ascii="Times New Roman" w:hAnsi="Times New Roman" w:eastAsia="宋体" w:cs="宋体"/>
          <w:bCs/>
          <w:color w:val="auto"/>
          <w:sz w:val="21"/>
          <w:szCs w:val="21"/>
          <w:u w:val="double"/>
        </w:rPr>
        <w:br w:type="page"/>
      </w:r>
    </w:p>
    <w:p>
      <w:pPr>
        <w:pStyle w:val="2"/>
        <w:adjustRightInd w:val="0"/>
        <w:spacing w:beforeLines="50" w:afterLines="50" w:line="360" w:lineRule="auto"/>
        <w:jc w:val="center"/>
        <w:rPr>
          <w:b w:val="0"/>
          <w:color w:val="auto"/>
        </w:rPr>
      </w:pPr>
      <w:r>
        <w:rPr>
          <w:rFonts w:hint="eastAsia"/>
          <w:b w:val="0"/>
          <w:color w:val="auto"/>
        </w:rPr>
        <w:t>分 项 报 价 表</w:t>
      </w:r>
    </w:p>
    <w:p>
      <w:pPr>
        <w:rPr>
          <w:rFonts w:asciiTheme="minorEastAsia" w:hAnsiTheme="minorEastAsia" w:eastAsiaTheme="minorEastAsia"/>
          <w:bCs/>
          <w:color w:val="auto"/>
          <w:sz w:val="21"/>
          <w:szCs w:val="21"/>
        </w:rPr>
      </w:pPr>
      <w:r>
        <w:rPr>
          <w:rFonts w:hint="eastAsia" w:asciiTheme="minorEastAsia" w:hAnsiTheme="minorEastAsia" w:eastAsiaTheme="minorEastAsia"/>
          <w:color w:val="auto"/>
          <w:sz w:val="21"/>
          <w:szCs w:val="21"/>
        </w:rPr>
        <w:t>响应供应商名称：                                            项目编号：GZGX20GZ00ZC-33</w:t>
      </w:r>
    </w:p>
    <w:tbl>
      <w:tblPr>
        <w:tblStyle w:val="21"/>
        <w:tblW w:w="985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591"/>
        <w:gridCol w:w="1051"/>
        <w:gridCol w:w="1506"/>
        <w:gridCol w:w="1409"/>
        <w:gridCol w:w="14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trPr>
        <w:tc>
          <w:tcPr>
            <w:tcW w:w="891" w:type="dxa"/>
            <w:vAlign w:val="center"/>
          </w:tcPr>
          <w:p>
            <w:pPr>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序号</w:t>
            </w:r>
          </w:p>
        </w:tc>
        <w:tc>
          <w:tcPr>
            <w:tcW w:w="3591" w:type="dxa"/>
            <w:vAlign w:val="center"/>
          </w:tcPr>
          <w:p>
            <w:pPr>
              <w:jc w:val="center"/>
              <w:rPr>
                <w:rFonts w:asciiTheme="minorEastAsia" w:hAnsiTheme="minorEastAsia" w:eastAsiaTheme="minorEastAsia"/>
                <w:bCs/>
                <w:color w:val="auto"/>
                <w:sz w:val="21"/>
                <w:szCs w:val="21"/>
              </w:rPr>
            </w:pPr>
            <w:r>
              <w:rPr>
                <w:rFonts w:hint="eastAsia" w:asciiTheme="minorEastAsia" w:hAnsiTheme="minorEastAsia" w:eastAsiaTheme="minorEastAsia"/>
                <w:color w:val="auto"/>
                <w:sz w:val="21"/>
                <w:szCs w:val="21"/>
              </w:rPr>
              <w:t>服务内容</w:t>
            </w:r>
          </w:p>
        </w:tc>
        <w:tc>
          <w:tcPr>
            <w:tcW w:w="1051" w:type="dxa"/>
            <w:vAlign w:val="center"/>
          </w:tcPr>
          <w:p>
            <w:pPr>
              <w:jc w:val="center"/>
              <w:rPr>
                <w:rFonts w:asciiTheme="minorEastAsia" w:hAnsiTheme="minorEastAsia" w:eastAsiaTheme="minorEastAsia"/>
                <w:bCs/>
                <w:color w:val="auto"/>
                <w:sz w:val="21"/>
                <w:szCs w:val="21"/>
              </w:rPr>
            </w:pPr>
            <w:r>
              <w:rPr>
                <w:rFonts w:hint="eastAsia" w:asciiTheme="minorEastAsia" w:hAnsiTheme="minorEastAsia" w:eastAsiaTheme="minorEastAsia"/>
                <w:bCs/>
                <w:color w:val="auto"/>
                <w:sz w:val="21"/>
                <w:szCs w:val="21"/>
              </w:rPr>
              <w:t>数量</w:t>
            </w:r>
          </w:p>
        </w:tc>
        <w:tc>
          <w:tcPr>
            <w:tcW w:w="1506" w:type="dxa"/>
            <w:vAlign w:val="center"/>
          </w:tcPr>
          <w:p>
            <w:pPr>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单价（元）</w:t>
            </w:r>
          </w:p>
        </w:tc>
        <w:tc>
          <w:tcPr>
            <w:tcW w:w="1409" w:type="dxa"/>
            <w:vAlign w:val="center"/>
          </w:tcPr>
          <w:p>
            <w:pPr>
              <w:ind w:left="-97" w:leftChars="-44"/>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合计（元）</w:t>
            </w:r>
          </w:p>
        </w:tc>
        <w:tc>
          <w:tcPr>
            <w:tcW w:w="1407" w:type="dxa"/>
            <w:vAlign w:val="center"/>
          </w:tcPr>
          <w:p>
            <w:pPr>
              <w:ind w:left="-97" w:leftChars="-44"/>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trPr>
        <w:tc>
          <w:tcPr>
            <w:tcW w:w="891" w:type="dxa"/>
            <w:vAlign w:val="center"/>
          </w:tcPr>
          <w:p>
            <w:pPr>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1</w:t>
            </w:r>
          </w:p>
        </w:tc>
        <w:tc>
          <w:tcPr>
            <w:tcW w:w="3591" w:type="dxa"/>
            <w:vAlign w:val="center"/>
          </w:tcPr>
          <w:p>
            <w:pPr>
              <w:jc w:val="center"/>
              <w:rPr>
                <w:rFonts w:asciiTheme="minorEastAsia" w:hAnsiTheme="minorEastAsia" w:eastAsiaTheme="minorEastAsia"/>
                <w:bCs/>
                <w:color w:val="auto"/>
                <w:sz w:val="21"/>
                <w:szCs w:val="21"/>
              </w:rPr>
            </w:pPr>
          </w:p>
        </w:tc>
        <w:tc>
          <w:tcPr>
            <w:tcW w:w="1051" w:type="dxa"/>
            <w:vAlign w:val="center"/>
          </w:tcPr>
          <w:p>
            <w:pPr>
              <w:jc w:val="center"/>
              <w:rPr>
                <w:rFonts w:asciiTheme="minorEastAsia" w:hAnsiTheme="minorEastAsia" w:eastAsiaTheme="minorEastAsia"/>
                <w:bCs/>
                <w:color w:val="auto"/>
                <w:sz w:val="21"/>
                <w:szCs w:val="21"/>
              </w:rPr>
            </w:pPr>
          </w:p>
        </w:tc>
        <w:tc>
          <w:tcPr>
            <w:tcW w:w="1506" w:type="dxa"/>
            <w:vAlign w:val="center"/>
          </w:tcPr>
          <w:p>
            <w:pPr>
              <w:jc w:val="center"/>
              <w:rPr>
                <w:rFonts w:asciiTheme="minorEastAsia" w:hAnsiTheme="minorEastAsia" w:eastAsiaTheme="minorEastAsia"/>
                <w:color w:val="auto"/>
                <w:sz w:val="21"/>
                <w:szCs w:val="21"/>
              </w:rPr>
            </w:pPr>
          </w:p>
        </w:tc>
        <w:tc>
          <w:tcPr>
            <w:tcW w:w="1409" w:type="dxa"/>
            <w:vAlign w:val="center"/>
          </w:tcPr>
          <w:p>
            <w:pPr>
              <w:ind w:left="-97" w:leftChars="-44"/>
              <w:jc w:val="center"/>
              <w:rPr>
                <w:rFonts w:asciiTheme="minorEastAsia" w:hAnsiTheme="minorEastAsia" w:eastAsiaTheme="minorEastAsia"/>
                <w:color w:val="auto"/>
                <w:sz w:val="21"/>
                <w:szCs w:val="21"/>
              </w:rPr>
            </w:pPr>
          </w:p>
        </w:tc>
        <w:tc>
          <w:tcPr>
            <w:tcW w:w="1407" w:type="dxa"/>
            <w:vAlign w:val="center"/>
          </w:tcPr>
          <w:p>
            <w:pPr>
              <w:ind w:left="-97" w:leftChars="-44"/>
              <w:jc w:val="center"/>
              <w:rPr>
                <w:rFonts w:asciiTheme="minorEastAsia" w:hAnsiTheme="minorEastAsia" w:eastAsiaTheme="minorEastAsia"/>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trPr>
        <w:tc>
          <w:tcPr>
            <w:tcW w:w="891" w:type="dxa"/>
            <w:vAlign w:val="center"/>
          </w:tcPr>
          <w:p>
            <w:pPr>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2</w:t>
            </w:r>
          </w:p>
        </w:tc>
        <w:tc>
          <w:tcPr>
            <w:tcW w:w="3591" w:type="dxa"/>
            <w:vAlign w:val="center"/>
          </w:tcPr>
          <w:p>
            <w:pPr>
              <w:jc w:val="center"/>
              <w:rPr>
                <w:rFonts w:asciiTheme="minorEastAsia" w:hAnsiTheme="minorEastAsia" w:eastAsiaTheme="minorEastAsia"/>
                <w:bCs/>
                <w:color w:val="auto"/>
                <w:sz w:val="21"/>
                <w:szCs w:val="21"/>
              </w:rPr>
            </w:pPr>
          </w:p>
        </w:tc>
        <w:tc>
          <w:tcPr>
            <w:tcW w:w="1051" w:type="dxa"/>
            <w:vAlign w:val="center"/>
          </w:tcPr>
          <w:p>
            <w:pPr>
              <w:jc w:val="center"/>
              <w:rPr>
                <w:rFonts w:asciiTheme="minorEastAsia" w:hAnsiTheme="minorEastAsia" w:eastAsiaTheme="minorEastAsia"/>
                <w:bCs/>
                <w:color w:val="auto"/>
                <w:sz w:val="21"/>
                <w:szCs w:val="21"/>
              </w:rPr>
            </w:pPr>
          </w:p>
        </w:tc>
        <w:tc>
          <w:tcPr>
            <w:tcW w:w="1506" w:type="dxa"/>
            <w:vAlign w:val="center"/>
          </w:tcPr>
          <w:p>
            <w:pPr>
              <w:jc w:val="center"/>
              <w:rPr>
                <w:rFonts w:asciiTheme="minorEastAsia" w:hAnsiTheme="minorEastAsia" w:eastAsiaTheme="minorEastAsia"/>
                <w:color w:val="auto"/>
                <w:sz w:val="21"/>
                <w:szCs w:val="21"/>
              </w:rPr>
            </w:pPr>
          </w:p>
        </w:tc>
        <w:tc>
          <w:tcPr>
            <w:tcW w:w="1409" w:type="dxa"/>
            <w:vAlign w:val="center"/>
          </w:tcPr>
          <w:p>
            <w:pPr>
              <w:ind w:left="-97" w:leftChars="-44"/>
              <w:jc w:val="center"/>
              <w:rPr>
                <w:rFonts w:asciiTheme="minorEastAsia" w:hAnsiTheme="minorEastAsia" w:eastAsiaTheme="minorEastAsia"/>
                <w:color w:val="auto"/>
                <w:sz w:val="21"/>
                <w:szCs w:val="21"/>
              </w:rPr>
            </w:pPr>
          </w:p>
        </w:tc>
        <w:tc>
          <w:tcPr>
            <w:tcW w:w="1407" w:type="dxa"/>
            <w:vAlign w:val="center"/>
          </w:tcPr>
          <w:p>
            <w:pPr>
              <w:ind w:left="-97" w:leftChars="-44"/>
              <w:jc w:val="center"/>
              <w:rPr>
                <w:rFonts w:asciiTheme="minorEastAsia" w:hAnsiTheme="minorEastAsia" w:eastAsiaTheme="minorEastAsia"/>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trPr>
        <w:tc>
          <w:tcPr>
            <w:tcW w:w="891" w:type="dxa"/>
            <w:vAlign w:val="center"/>
          </w:tcPr>
          <w:p>
            <w:pPr>
              <w:jc w:val="center"/>
              <w:rPr>
                <w:rFonts w:asciiTheme="minorEastAsia" w:hAnsiTheme="minorEastAsia" w:eastAsiaTheme="minorEastAsia"/>
                <w:color w:val="auto"/>
                <w:sz w:val="21"/>
                <w:szCs w:val="21"/>
              </w:rPr>
            </w:pPr>
            <w:r>
              <w:rPr>
                <w:rFonts w:asciiTheme="minorEastAsia" w:hAnsiTheme="minorEastAsia" w:eastAsiaTheme="minorEastAsia"/>
                <w:color w:val="auto"/>
                <w:sz w:val="21"/>
                <w:szCs w:val="21"/>
              </w:rPr>
              <w:t>……</w:t>
            </w:r>
          </w:p>
        </w:tc>
        <w:tc>
          <w:tcPr>
            <w:tcW w:w="3591" w:type="dxa"/>
            <w:vAlign w:val="center"/>
          </w:tcPr>
          <w:p>
            <w:pPr>
              <w:jc w:val="center"/>
              <w:rPr>
                <w:rFonts w:asciiTheme="minorEastAsia" w:hAnsiTheme="minorEastAsia" w:eastAsiaTheme="minorEastAsia"/>
                <w:bCs/>
                <w:color w:val="auto"/>
                <w:sz w:val="21"/>
                <w:szCs w:val="21"/>
              </w:rPr>
            </w:pPr>
          </w:p>
        </w:tc>
        <w:tc>
          <w:tcPr>
            <w:tcW w:w="1051" w:type="dxa"/>
            <w:vAlign w:val="center"/>
          </w:tcPr>
          <w:p>
            <w:pPr>
              <w:jc w:val="center"/>
              <w:rPr>
                <w:rFonts w:asciiTheme="minorEastAsia" w:hAnsiTheme="minorEastAsia" w:eastAsiaTheme="minorEastAsia"/>
                <w:bCs/>
                <w:color w:val="auto"/>
                <w:sz w:val="21"/>
                <w:szCs w:val="21"/>
              </w:rPr>
            </w:pPr>
          </w:p>
        </w:tc>
        <w:tc>
          <w:tcPr>
            <w:tcW w:w="1506" w:type="dxa"/>
            <w:vAlign w:val="center"/>
          </w:tcPr>
          <w:p>
            <w:pPr>
              <w:jc w:val="center"/>
              <w:rPr>
                <w:rFonts w:asciiTheme="minorEastAsia" w:hAnsiTheme="minorEastAsia" w:eastAsiaTheme="minorEastAsia"/>
                <w:color w:val="auto"/>
                <w:sz w:val="21"/>
                <w:szCs w:val="21"/>
              </w:rPr>
            </w:pPr>
          </w:p>
        </w:tc>
        <w:tc>
          <w:tcPr>
            <w:tcW w:w="1409" w:type="dxa"/>
            <w:vAlign w:val="center"/>
          </w:tcPr>
          <w:p>
            <w:pPr>
              <w:ind w:left="-97" w:leftChars="-44"/>
              <w:jc w:val="center"/>
              <w:rPr>
                <w:rFonts w:asciiTheme="minorEastAsia" w:hAnsiTheme="minorEastAsia" w:eastAsiaTheme="minorEastAsia"/>
                <w:color w:val="auto"/>
                <w:sz w:val="21"/>
                <w:szCs w:val="21"/>
              </w:rPr>
            </w:pPr>
          </w:p>
        </w:tc>
        <w:tc>
          <w:tcPr>
            <w:tcW w:w="1407" w:type="dxa"/>
            <w:vAlign w:val="center"/>
          </w:tcPr>
          <w:p>
            <w:pPr>
              <w:ind w:left="-97" w:leftChars="-44"/>
              <w:jc w:val="center"/>
              <w:rPr>
                <w:rFonts w:asciiTheme="minorEastAsia" w:hAnsiTheme="minorEastAsia" w:eastAsiaTheme="minorEastAsia"/>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1" w:hRule="atLeast"/>
        </w:trPr>
        <w:tc>
          <w:tcPr>
            <w:tcW w:w="891" w:type="dxa"/>
            <w:vAlign w:val="center"/>
          </w:tcPr>
          <w:p>
            <w:pPr>
              <w:spacing w:after="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总计</w:t>
            </w:r>
          </w:p>
          <w:p>
            <w:pPr>
              <w:spacing w:after="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（元）</w:t>
            </w:r>
          </w:p>
        </w:tc>
        <w:tc>
          <w:tcPr>
            <w:tcW w:w="8964" w:type="dxa"/>
            <w:gridSpan w:val="5"/>
            <w:vAlign w:val="center"/>
          </w:tcPr>
          <w:p>
            <w:pPr>
              <w:ind w:left="-97" w:leftChars="-44"/>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 </w:t>
            </w:r>
            <w:r>
              <w:rPr>
                <w:rFonts w:hint="eastAsia" w:asciiTheme="minorEastAsia" w:hAnsiTheme="minorEastAsia" w:eastAsiaTheme="minorEastAsia"/>
                <w:color w:val="auto"/>
                <w:sz w:val="21"/>
                <w:szCs w:val="21"/>
                <w:u w:val="single"/>
              </w:rPr>
              <w:t xml:space="preserve">                     </w:t>
            </w:r>
            <w:r>
              <w:rPr>
                <w:rFonts w:hint="eastAsia" w:asciiTheme="minorEastAsia" w:hAnsiTheme="minorEastAsia" w:eastAsiaTheme="minorEastAsia"/>
                <w:color w:val="auto"/>
                <w:sz w:val="21"/>
                <w:szCs w:val="21"/>
              </w:rPr>
              <w:t>大写：</w:t>
            </w:r>
            <w:r>
              <w:rPr>
                <w:rFonts w:hint="eastAsia" w:asciiTheme="minorEastAsia" w:hAnsiTheme="minorEastAsia" w:eastAsiaTheme="minorEastAsia"/>
                <w:color w:val="auto"/>
                <w:sz w:val="21"/>
                <w:szCs w:val="21"/>
                <w:u w:val="single"/>
              </w:rPr>
              <w:t xml:space="preserve">                               </w:t>
            </w:r>
          </w:p>
        </w:tc>
      </w:tr>
    </w:tbl>
    <w:p>
      <w:pPr>
        <w:rPr>
          <w:rFonts w:asciiTheme="minorEastAsia" w:hAnsiTheme="minorEastAsia" w:eastAsiaTheme="minorEastAsia"/>
          <w:bCs/>
          <w:color w:val="auto"/>
          <w:sz w:val="21"/>
          <w:szCs w:val="21"/>
        </w:rPr>
      </w:pPr>
    </w:p>
    <w:p>
      <w:pPr>
        <w:rPr>
          <w:rFonts w:asciiTheme="minorEastAsia" w:hAnsiTheme="minorEastAsia" w:eastAsiaTheme="minorEastAsia"/>
          <w:bCs/>
          <w:color w:val="auto"/>
          <w:sz w:val="21"/>
          <w:szCs w:val="21"/>
        </w:rPr>
      </w:pPr>
    </w:p>
    <w:p>
      <w:pPr>
        <w:spacing w:line="500" w:lineRule="exact"/>
        <w:rPr>
          <w:rFonts w:asciiTheme="minorEastAsia" w:hAnsiTheme="minorEastAsia" w:eastAsiaTheme="minorEastAsia"/>
          <w:color w:val="auto"/>
          <w:sz w:val="21"/>
          <w:szCs w:val="21"/>
          <w:u w:val="single"/>
        </w:rPr>
      </w:pPr>
      <w:r>
        <w:rPr>
          <w:rFonts w:hint="eastAsia" w:asciiTheme="minorEastAsia" w:hAnsiTheme="minorEastAsia" w:eastAsiaTheme="minorEastAsia"/>
          <w:color w:val="auto"/>
          <w:spacing w:val="4"/>
          <w:sz w:val="21"/>
          <w:szCs w:val="21"/>
        </w:rPr>
        <w:t>响应供应商名称（盖公章）：</w:t>
      </w:r>
      <w:r>
        <w:rPr>
          <w:rFonts w:hint="eastAsia" w:asciiTheme="minorEastAsia" w:hAnsiTheme="minorEastAsia" w:eastAsiaTheme="minorEastAsia"/>
          <w:color w:val="auto"/>
          <w:spacing w:val="4"/>
          <w:sz w:val="21"/>
          <w:szCs w:val="21"/>
          <w:u w:val="single"/>
        </w:rPr>
        <w:t xml:space="preserve">                             </w:t>
      </w:r>
    </w:p>
    <w:p>
      <w:pPr>
        <w:rPr>
          <w:rFonts w:asciiTheme="minorEastAsia" w:hAnsiTheme="minorEastAsia" w:eastAsiaTheme="minorEastAsia"/>
          <w:color w:val="auto"/>
          <w:spacing w:val="4"/>
          <w:sz w:val="21"/>
          <w:szCs w:val="21"/>
        </w:rPr>
      </w:pPr>
    </w:p>
    <w:p>
      <w:pPr>
        <w:spacing w:line="520" w:lineRule="exact"/>
        <w:rPr>
          <w:rFonts w:asciiTheme="minorEastAsia" w:hAnsiTheme="minorEastAsia" w:eastAsiaTheme="minorEastAsia"/>
          <w:color w:val="auto"/>
          <w:spacing w:val="4"/>
          <w:sz w:val="21"/>
          <w:szCs w:val="21"/>
        </w:rPr>
      </w:pPr>
      <w:r>
        <w:rPr>
          <w:rFonts w:hint="eastAsia" w:asciiTheme="minorEastAsia" w:hAnsiTheme="minorEastAsia" w:eastAsiaTheme="minorEastAsia"/>
          <w:color w:val="auto"/>
          <w:sz w:val="21"/>
          <w:szCs w:val="21"/>
        </w:rPr>
        <w:t>法定代表人或响应供应商授权代表（签名或盖章）：</w:t>
      </w:r>
      <w:r>
        <w:rPr>
          <w:rFonts w:asciiTheme="minorEastAsia" w:hAnsiTheme="minorEastAsia" w:eastAsiaTheme="minorEastAsia"/>
          <w:color w:val="auto"/>
          <w:spacing w:val="4"/>
          <w:sz w:val="21"/>
          <w:szCs w:val="21"/>
          <w:u w:val="single"/>
        </w:rPr>
        <w:t xml:space="preserve">             </w:t>
      </w:r>
      <w:r>
        <w:rPr>
          <w:rFonts w:asciiTheme="minorEastAsia" w:hAnsiTheme="minorEastAsia" w:eastAsiaTheme="minorEastAsia"/>
          <w:color w:val="auto"/>
          <w:spacing w:val="4"/>
          <w:sz w:val="21"/>
          <w:szCs w:val="21"/>
        </w:rPr>
        <w:t xml:space="preserve"> </w:t>
      </w:r>
      <w:r>
        <w:rPr>
          <w:rFonts w:hint="eastAsia" w:asciiTheme="minorEastAsia" w:hAnsiTheme="minorEastAsia" w:eastAsiaTheme="minorEastAsia"/>
          <w:color w:val="auto"/>
          <w:spacing w:val="4"/>
          <w:sz w:val="21"/>
          <w:szCs w:val="21"/>
        </w:rPr>
        <w:t>职务：</w:t>
      </w:r>
      <w:r>
        <w:rPr>
          <w:rFonts w:asciiTheme="minorEastAsia" w:hAnsiTheme="minorEastAsia" w:eastAsiaTheme="minorEastAsia"/>
          <w:color w:val="auto"/>
          <w:spacing w:val="4"/>
          <w:sz w:val="21"/>
          <w:szCs w:val="21"/>
          <w:u w:val="single"/>
        </w:rPr>
        <w:t xml:space="preserve">        </w:t>
      </w:r>
      <w:r>
        <w:rPr>
          <w:rFonts w:asciiTheme="minorEastAsia" w:hAnsiTheme="minorEastAsia" w:eastAsiaTheme="minorEastAsia"/>
          <w:color w:val="auto"/>
          <w:spacing w:val="4"/>
          <w:sz w:val="21"/>
          <w:szCs w:val="21"/>
        </w:rPr>
        <w:t xml:space="preserve"> </w:t>
      </w:r>
      <w:r>
        <w:rPr>
          <w:rFonts w:hint="eastAsia" w:asciiTheme="minorEastAsia" w:hAnsiTheme="minorEastAsia" w:eastAsiaTheme="minorEastAsia"/>
          <w:color w:val="auto"/>
          <w:spacing w:val="4"/>
          <w:sz w:val="21"/>
          <w:szCs w:val="21"/>
        </w:rPr>
        <w:t>日期：</w:t>
      </w:r>
      <w:r>
        <w:rPr>
          <w:rFonts w:asciiTheme="minorEastAsia" w:hAnsiTheme="minorEastAsia" w:eastAsiaTheme="minorEastAsia"/>
          <w:color w:val="auto"/>
          <w:spacing w:val="4"/>
          <w:sz w:val="21"/>
          <w:szCs w:val="21"/>
          <w:u w:val="single"/>
        </w:rPr>
        <w:t xml:space="preserve">         </w:t>
      </w:r>
    </w:p>
    <w:p>
      <w:pPr>
        <w:spacing w:line="400" w:lineRule="exact"/>
        <w:rPr>
          <w:rFonts w:asciiTheme="minorEastAsia" w:hAnsiTheme="minorEastAsia" w:eastAsiaTheme="minorEastAsia"/>
          <w:b/>
          <w:bCs/>
          <w:color w:val="auto"/>
          <w:sz w:val="21"/>
          <w:szCs w:val="21"/>
        </w:rPr>
      </w:pPr>
    </w:p>
    <w:p>
      <w:pPr>
        <w:spacing w:line="400" w:lineRule="exact"/>
        <w:rPr>
          <w:rFonts w:asciiTheme="minorEastAsia" w:hAnsiTheme="minorEastAsia" w:eastAsiaTheme="minorEastAsia"/>
          <w:b/>
          <w:bCs/>
          <w:color w:val="auto"/>
          <w:sz w:val="21"/>
          <w:szCs w:val="21"/>
        </w:rPr>
      </w:pPr>
      <w:r>
        <w:rPr>
          <w:rFonts w:hint="eastAsia" w:asciiTheme="minorEastAsia" w:hAnsiTheme="minorEastAsia" w:eastAsiaTheme="minorEastAsia"/>
          <w:b/>
          <w:bCs/>
          <w:color w:val="auto"/>
          <w:sz w:val="21"/>
          <w:szCs w:val="21"/>
        </w:rPr>
        <w:t>备注：</w:t>
      </w:r>
    </w:p>
    <w:p>
      <w:pPr>
        <w:numPr>
          <w:ilvl w:val="1"/>
          <w:numId w:val="54"/>
        </w:numPr>
        <w:tabs>
          <w:tab w:val="left" w:pos="0"/>
        </w:tabs>
        <w:adjustRightInd/>
        <w:spacing w:line="360" w:lineRule="auto"/>
        <w:ind w:left="0" w:firstLine="0"/>
        <w:jc w:val="both"/>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中文大写金额用汉字，如壹、贰、叁、肆、伍、陆、柒、捌、玖、拾、佰、仟、万、亿、元、角、分、零、整（正）等。</w:t>
      </w:r>
    </w:p>
    <w:p>
      <w:pPr>
        <w:numPr>
          <w:ilvl w:val="1"/>
          <w:numId w:val="54"/>
        </w:numPr>
        <w:tabs>
          <w:tab w:val="left" w:pos="0"/>
        </w:tabs>
        <w:adjustRightInd/>
        <w:spacing w:line="360" w:lineRule="auto"/>
        <w:ind w:left="0" w:firstLine="0"/>
        <w:jc w:val="both"/>
        <w:rPr>
          <w:rFonts w:asciiTheme="minorEastAsia" w:hAnsiTheme="minorEastAsia" w:eastAsiaTheme="minorEastAsia"/>
          <w:color w:val="auto"/>
          <w:sz w:val="21"/>
          <w:szCs w:val="21"/>
        </w:rPr>
      </w:pPr>
      <w:r>
        <w:rPr>
          <w:rFonts w:hint="eastAsia" w:asciiTheme="minorEastAsia" w:hAnsiTheme="minorEastAsia" w:eastAsiaTheme="minorEastAsia"/>
          <w:b/>
          <w:bCs/>
          <w:color w:val="auto"/>
          <w:sz w:val="21"/>
          <w:szCs w:val="21"/>
        </w:rPr>
        <w:t>所有价格均系用人民币表示，单位为元，磋商报价的小数点后保留两位有效数。</w:t>
      </w:r>
    </w:p>
    <w:p>
      <w:pPr>
        <w:numPr>
          <w:ilvl w:val="1"/>
          <w:numId w:val="54"/>
        </w:numPr>
        <w:tabs>
          <w:tab w:val="left" w:pos="0"/>
        </w:tabs>
        <w:adjustRightInd/>
        <w:spacing w:line="360" w:lineRule="auto"/>
        <w:ind w:left="0" w:firstLine="0"/>
        <w:jc w:val="both"/>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此表为《报价表（首次报价）》的报价明细表。</w:t>
      </w:r>
    </w:p>
    <w:p>
      <w:pPr>
        <w:numPr>
          <w:ilvl w:val="1"/>
          <w:numId w:val="54"/>
        </w:numPr>
        <w:tabs>
          <w:tab w:val="left" w:pos="0"/>
        </w:tabs>
        <w:adjustRightInd/>
        <w:spacing w:line="360" w:lineRule="auto"/>
        <w:ind w:left="0" w:firstLine="0"/>
        <w:jc w:val="both"/>
        <w:rPr>
          <w:rFonts w:asciiTheme="minorEastAsia" w:hAnsiTheme="minorEastAsia" w:eastAsiaTheme="minorEastAsia"/>
          <w:color w:val="auto"/>
          <w:sz w:val="21"/>
          <w:szCs w:val="21"/>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r>
        <w:rPr>
          <w:rFonts w:hint="eastAsia" w:asciiTheme="minorEastAsia" w:hAnsiTheme="minorEastAsia" w:eastAsiaTheme="minorEastAsia"/>
          <w:color w:val="auto"/>
          <w:sz w:val="21"/>
          <w:szCs w:val="21"/>
        </w:rPr>
        <w:t>所有价格均以人民币作为货币单位填写及计算。</w:t>
      </w:r>
    </w:p>
    <w:p>
      <w:pPr>
        <w:keepNext/>
        <w:keepLines/>
        <w:spacing w:beforeLines="50" w:afterLines="50" w:line="360" w:lineRule="auto"/>
        <w:jc w:val="center"/>
        <w:rPr>
          <w:rFonts w:ascii="黑体" w:hAnsi="黑体" w:eastAsia="黑体" w:cs="黑体"/>
          <w:color w:val="auto"/>
          <w:sz w:val="28"/>
          <w:szCs w:val="28"/>
        </w:rPr>
      </w:pPr>
      <w:r>
        <w:rPr>
          <w:rFonts w:hint="eastAsia" w:ascii="黑体" w:hAnsi="黑体" w:eastAsia="黑体" w:cs="黑体"/>
          <w:bCs/>
          <w:color w:val="auto"/>
          <w:sz w:val="28"/>
          <w:szCs w:val="28"/>
          <w:shd w:val="pct10" w:color="auto" w:fill="FFFFFF"/>
        </w:rPr>
        <w:t>（如响应供应商不属于中小企业无须提供）</w:t>
      </w:r>
    </w:p>
    <w:p>
      <w:pPr>
        <w:pStyle w:val="2"/>
        <w:widowControl/>
        <w:adjustRightInd w:val="0"/>
        <w:spacing w:before="0" w:after="0" w:line="360" w:lineRule="auto"/>
        <w:jc w:val="center"/>
        <w:rPr>
          <w:b w:val="0"/>
          <w:bCs/>
          <w:color w:val="auto"/>
          <w:sz w:val="28"/>
          <w:szCs w:val="28"/>
        </w:rPr>
      </w:pPr>
      <w:bookmarkStart w:id="82" w:name="_Toc435515315"/>
      <w:bookmarkStart w:id="83" w:name="_Toc435514875"/>
      <w:bookmarkStart w:id="84" w:name="_Toc410738987"/>
      <w:bookmarkStart w:id="85" w:name="_Toc416770265"/>
      <w:bookmarkStart w:id="86" w:name="_Toc416771375"/>
      <w:bookmarkStart w:id="87" w:name="_Toc410736188"/>
      <w:r>
        <w:rPr>
          <w:rFonts w:hint="eastAsia" w:cs="黑体"/>
          <w:b w:val="0"/>
          <w:bCs/>
          <w:color w:val="auto"/>
          <w:sz w:val="28"/>
          <w:szCs w:val="28"/>
        </w:rPr>
        <w:t>中小企业声明函</w:t>
      </w:r>
      <w:bookmarkEnd w:id="82"/>
      <w:bookmarkEnd w:id="83"/>
    </w:p>
    <w:p>
      <w:pPr>
        <w:widowControl w:val="0"/>
        <w:autoSpaceDE w:val="0"/>
        <w:autoSpaceDN w:val="0"/>
        <w:spacing w:after="0" w:line="360" w:lineRule="auto"/>
        <w:jc w:val="center"/>
        <w:rPr>
          <w:rFonts w:ascii="宋体" w:hAnsi="宋体" w:eastAsia="宋体" w:cs="宋体"/>
          <w:b/>
          <w:color w:val="auto"/>
        </w:rPr>
      </w:pPr>
      <w:r>
        <w:rPr>
          <w:rFonts w:hint="eastAsia" w:ascii="宋体" w:hAnsi="宋体" w:eastAsia="宋体" w:cs="宋体"/>
          <w:b/>
          <w:color w:val="auto"/>
          <w:sz w:val="21"/>
          <w:szCs w:val="21"/>
        </w:rPr>
        <w:t>（投标供应商认为其为中小企业的应提交本函，明确企业类型，否则评审时不能享受相应的价格扣除）</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本公司郑重声明，根据《政府采购促进中小企业发展暂行办法》（财库[2011]181号）的规定，本公司为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（请填写：中型、小型、微型）企业。即，本公司同时满足以下条件：</w:t>
      </w:r>
    </w:p>
    <w:p>
      <w:pPr>
        <w:widowControl w:val="0"/>
        <w:autoSpaceDE w:val="0"/>
        <w:autoSpaceDN w:val="0"/>
        <w:spacing w:after="0" w:line="360" w:lineRule="auto"/>
        <w:ind w:left="315" w:hanging="315" w:hangingChars="150"/>
        <w:rPr>
          <w:rFonts w:ascii="宋体" w:hAnsi="宋体" w:eastAsia="宋体" w:cs="宋体"/>
          <w:color w:val="auto"/>
        </w:rPr>
      </w:pPr>
      <w:r>
        <w:rPr>
          <w:rFonts w:hint="eastAsia" w:ascii="宋体" w:hAnsi="宋体" w:eastAsia="宋体" w:cs="宋体"/>
          <w:color w:val="auto"/>
          <w:sz w:val="21"/>
          <w:szCs w:val="21"/>
        </w:rPr>
        <w:t>1、根据《工业和信息化部、国家统计局、国家发展和改革委员会、财政部关于印发中小企业划型标准规定的通知》（工信部联企业[2011]300号）规定的划分标准，本公司为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（请填写：中型、小型、微型）企业。</w:t>
      </w:r>
    </w:p>
    <w:p>
      <w:pPr>
        <w:widowControl w:val="0"/>
        <w:autoSpaceDE w:val="0"/>
        <w:autoSpaceDN w:val="0"/>
        <w:spacing w:after="0" w:line="360" w:lineRule="auto"/>
        <w:ind w:left="315" w:hanging="315" w:hangingChars="150"/>
        <w:rPr>
          <w:rFonts w:ascii="宋体" w:hAnsi="宋体" w:eastAsia="宋体" w:cs="宋体"/>
          <w:color w:val="auto"/>
        </w:rPr>
      </w:pPr>
      <w:r>
        <w:rPr>
          <w:rFonts w:hint="eastAsia" w:ascii="宋体" w:hAnsi="宋体" w:eastAsia="宋体" w:cs="宋体"/>
          <w:color w:val="auto"/>
          <w:sz w:val="21"/>
          <w:szCs w:val="21"/>
        </w:rPr>
        <w:t>2、本公司参加</w:t>
      </w:r>
      <w:r>
        <w:rPr>
          <w:rFonts w:hint="eastAsia" w:ascii="宋体" w:hAnsi="宋体" w:eastAsia="宋体" w:cs="宋体"/>
          <w:color w:val="auto"/>
          <w:sz w:val="21"/>
          <w:szCs w:val="21"/>
          <w:u w:val="single"/>
        </w:rPr>
        <w:t xml:space="preserve">     (采购人单位名称)    </w:t>
      </w:r>
      <w:r>
        <w:rPr>
          <w:rFonts w:hint="eastAsia" w:ascii="宋体" w:hAnsi="宋体" w:eastAsia="宋体" w:cs="宋体"/>
          <w:color w:val="auto"/>
          <w:sz w:val="21"/>
          <w:szCs w:val="21"/>
        </w:rPr>
        <w:t>的</w:t>
      </w:r>
      <w:r>
        <w:rPr>
          <w:rFonts w:hint="eastAsia" w:ascii="宋体" w:hAnsi="宋体" w:eastAsia="宋体" w:cs="宋体"/>
          <w:color w:val="auto"/>
          <w:sz w:val="21"/>
          <w:szCs w:val="21"/>
          <w:u w:val="single"/>
        </w:rPr>
        <w:t xml:space="preserve">   (项目名称)      </w:t>
      </w:r>
      <w:r>
        <w:rPr>
          <w:rFonts w:hint="eastAsia" w:ascii="宋体" w:hAnsi="宋体" w:eastAsia="宋体" w:cs="宋体"/>
          <w:color w:val="auto"/>
          <w:sz w:val="21"/>
          <w:szCs w:val="21"/>
        </w:rPr>
        <w:t xml:space="preserve"> 采购活动提供本企业制造的货物，由本企业承担工程、提供服务，或者提供其他</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（请填写：中型、小型、微型）企业制造的货物。本条所称货物不包括使用大型企业注册商标的货物。</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本公司对上述声明的真实性负责。如有虚假，将依法承担相应责任。</w:t>
      </w:r>
    </w:p>
    <w:p>
      <w:pPr>
        <w:widowControl w:val="0"/>
        <w:autoSpaceDE w:val="0"/>
        <w:autoSpaceDN w:val="0"/>
        <w:spacing w:after="0" w:line="360" w:lineRule="auto"/>
        <w:ind w:firstLine="440" w:firstLineChars="200"/>
        <w:jc w:val="center"/>
        <w:rPr>
          <w:rFonts w:ascii="宋体" w:hAnsi="宋体" w:eastAsia="宋体" w:cs="宋体"/>
          <w:color w:val="auto"/>
        </w:rPr>
      </w:pPr>
    </w:p>
    <w:p>
      <w:pPr>
        <w:widowControl w:val="0"/>
        <w:autoSpaceDE w:val="0"/>
        <w:autoSpaceDN w:val="0"/>
        <w:spacing w:after="0" w:line="360" w:lineRule="auto"/>
        <w:ind w:firstLine="420" w:firstLineChars="200"/>
        <w:jc w:val="center"/>
        <w:rPr>
          <w:rFonts w:ascii="宋体" w:hAnsi="宋体" w:eastAsia="宋体" w:cs="宋体"/>
          <w:color w:val="auto"/>
        </w:rPr>
      </w:pPr>
      <w:r>
        <w:rPr>
          <w:rFonts w:hint="eastAsia" w:ascii="宋体" w:hAnsi="宋体" w:eastAsia="宋体" w:cs="宋体"/>
          <w:color w:val="auto"/>
          <w:sz w:val="21"/>
          <w:szCs w:val="21"/>
        </w:rPr>
        <w:t xml:space="preserve">                              响应供应商名称（单位盖</w:t>
      </w:r>
      <w:r>
        <w:rPr>
          <w:rFonts w:hint="eastAsia" w:ascii="Times New Roman" w:hAnsi="Times New Roman" w:eastAsia="宋体" w:cs="宋体"/>
          <w:color w:val="auto"/>
          <w:spacing w:val="4"/>
          <w:sz w:val="21"/>
          <w:szCs w:val="21"/>
        </w:rPr>
        <w:t>公章</w:t>
      </w:r>
      <w:r>
        <w:rPr>
          <w:rFonts w:hint="eastAsia" w:ascii="宋体" w:hAnsi="宋体" w:eastAsia="宋体" w:cs="宋体"/>
          <w:color w:val="auto"/>
          <w:sz w:val="21"/>
          <w:szCs w:val="21"/>
        </w:rPr>
        <w:t>）：</w:t>
      </w:r>
    </w:p>
    <w:p>
      <w:pPr>
        <w:widowControl w:val="0"/>
        <w:autoSpaceDE w:val="0"/>
        <w:autoSpaceDN w:val="0"/>
        <w:spacing w:after="0" w:line="360" w:lineRule="auto"/>
        <w:ind w:firstLine="420" w:firstLineChars="200"/>
        <w:jc w:val="center"/>
        <w:rPr>
          <w:rFonts w:ascii="宋体" w:hAnsi="宋体" w:eastAsia="宋体" w:cs="宋体"/>
          <w:color w:val="auto"/>
        </w:rPr>
      </w:pPr>
      <w:r>
        <w:rPr>
          <w:rFonts w:hint="eastAsia" w:ascii="宋体" w:hAnsi="宋体" w:eastAsia="宋体" w:cs="宋体"/>
          <w:color w:val="auto"/>
          <w:sz w:val="21"/>
          <w:szCs w:val="21"/>
        </w:rPr>
        <w:t xml:space="preserve">                  日 期：</w:t>
      </w:r>
    </w:p>
    <w:p>
      <w:pPr>
        <w:widowControl w:val="0"/>
        <w:autoSpaceDE w:val="0"/>
        <w:autoSpaceDN w:val="0"/>
        <w:spacing w:after="0" w:line="360" w:lineRule="auto"/>
        <w:ind w:firstLine="260" w:firstLineChars="200"/>
        <w:jc w:val="center"/>
        <w:rPr>
          <w:rFonts w:ascii="宋体" w:hAnsi="宋体" w:eastAsia="宋体" w:cs="宋体"/>
          <w:color w:val="auto"/>
          <w:sz w:val="13"/>
          <w:szCs w:val="13"/>
        </w:rPr>
      </w:pPr>
    </w:p>
    <w:p>
      <w:pPr>
        <w:keepNext/>
        <w:keepLines/>
        <w:spacing w:beforeLines="50" w:afterLines="50" w:line="360" w:lineRule="auto"/>
        <w:jc w:val="center"/>
        <w:rPr>
          <w:rFonts w:ascii="黑体" w:hAnsi="黑体" w:eastAsia="黑体" w:cs="黑体"/>
          <w:bCs/>
          <w:color w:val="auto"/>
          <w:sz w:val="28"/>
          <w:szCs w:val="28"/>
        </w:rPr>
      </w:pPr>
      <w:r>
        <w:rPr>
          <w:rFonts w:hint="eastAsia" w:ascii="黑体" w:hAnsi="黑体" w:eastAsia="黑体" w:cs="黑体"/>
          <w:bCs/>
          <w:color w:val="auto"/>
          <w:sz w:val="28"/>
          <w:szCs w:val="28"/>
          <w:shd w:val="pct10" w:color="auto" w:fill="FFFFFF"/>
        </w:rPr>
        <w:t>（如响应供应商不属于监狱企业无须提供）</w:t>
      </w:r>
    </w:p>
    <w:p>
      <w:pPr>
        <w:pStyle w:val="2"/>
        <w:widowControl/>
        <w:adjustRightInd w:val="0"/>
        <w:spacing w:before="0" w:after="0" w:line="360" w:lineRule="auto"/>
        <w:jc w:val="center"/>
        <w:rPr>
          <w:b w:val="0"/>
          <w:bCs/>
          <w:color w:val="auto"/>
          <w:sz w:val="28"/>
          <w:szCs w:val="28"/>
        </w:rPr>
      </w:pPr>
      <w:r>
        <w:rPr>
          <w:rFonts w:hint="eastAsia" w:cs="黑体"/>
          <w:b w:val="0"/>
          <w:bCs/>
          <w:color w:val="auto"/>
          <w:sz w:val="28"/>
          <w:szCs w:val="28"/>
        </w:rPr>
        <w:t>监狱企业的证明文件</w:t>
      </w:r>
    </w:p>
    <w:p>
      <w:pPr>
        <w:widowControl w:val="0"/>
        <w:autoSpaceDE w:val="0"/>
        <w:autoSpaceDN w:val="0"/>
        <w:spacing w:after="0" w:line="360" w:lineRule="auto"/>
        <w:rPr>
          <w:color w:val="auto"/>
        </w:rPr>
      </w:pPr>
      <w:r>
        <w:rPr>
          <w:rFonts w:hint="eastAsia" w:ascii="Times New Roman" w:hAnsi="Times New Roman" w:eastAsia="宋体" w:cs="宋体"/>
          <w:color w:val="auto"/>
          <w:sz w:val="21"/>
          <w:szCs w:val="21"/>
        </w:rPr>
        <w:t>说明：监狱企业参加政府采购活动时，应当提供由省级以上监狱管理局、戒毒管理局（含新疆生产建设兵团）出具的属于监狱企业的证明文件，并加盖响应供应商单位公章。</w:t>
      </w:r>
    </w:p>
    <w:p>
      <w:pPr>
        <w:widowControl w:val="0"/>
        <w:autoSpaceDE w:val="0"/>
        <w:autoSpaceDN w:val="0"/>
        <w:spacing w:after="0" w:line="440" w:lineRule="exact"/>
        <w:rPr>
          <w:color w:val="auto"/>
          <w:sz w:val="13"/>
          <w:szCs w:val="13"/>
          <w:u w:val="single"/>
        </w:rPr>
      </w:pPr>
    </w:p>
    <w:p>
      <w:pPr>
        <w:keepNext/>
        <w:keepLines/>
        <w:spacing w:beforeLines="50" w:afterLines="50" w:line="360" w:lineRule="auto"/>
        <w:jc w:val="center"/>
        <w:rPr>
          <w:rFonts w:ascii="黑体" w:hAnsi="黑体" w:eastAsia="黑体" w:cs="黑体"/>
          <w:bCs/>
          <w:color w:val="auto"/>
          <w:sz w:val="28"/>
          <w:szCs w:val="28"/>
          <w:shd w:val="pct10" w:color="auto" w:fill="FFFFFF"/>
        </w:rPr>
      </w:pPr>
      <w:r>
        <w:rPr>
          <w:rFonts w:hint="eastAsia" w:ascii="黑体" w:hAnsi="黑体" w:eastAsia="黑体" w:cs="黑体"/>
          <w:bCs/>
          <w:color w:val="auto"/>
          <w:sz w:val="28"/>
          <w:szCs w:val="28"/>
          <w:shd w:val="pct10" w:color="auto" w:fill="FFFFFF"/>
        </w:rPr>
        <w:t>（如响应供应商不属于残疾人福利性单位无须提供）</w:t>
      </w:r>
    </w:p>
    <w:p>
      <w:pPr>
        <w:pStyle w:val="2"/>
        <w:widowControl/>
        <w:adjustRightInd w:val="0"/>
        <w:spacing w:before="0" w:after="0" w:line="360" w:lineRule="auto"/>
        <w:jc w:val="center"/>
        <w:rPr>
          <w:b w:val="0"/>
          <w:bCs/>
          <w:color w:val="auto"/>
          <w:sz w:val="28"/>
          <w:szCs w:val="28"/>
        </w:rPr>
      </w:pPr>
      <w:bookmarkStart w:id="88" w:name="OLE_LINK14"/>
      <w:bookmarkStart w:id="89" w:name="OLE_LINK13"/>
      <w:r>
        <w:rPr>
          <w:rFonts w:hint="eastAsia" w:cs="黑体"/>
          <w:b w:val="0"/>
          <w:bCs/>
          <w:color w:val="auto"/>
          <w:sz w:val="28"/>
          <w:szCs w:val="28"/>
        </w:rPr>
        <w:t>残疾人福利性单位声明函</w:t>
      </w:r>
    </w:p>
    <w:bookmarkEnd w:id="88"/>
    <w:bookmarkEnd w:id="89"/>
    <w:p>
      <w:pPr>
        <w:widowControl w:val="0"/>
        <w:autoSpaceDE w:val="0"/>
        <w:autoSpaceDN w:val="0"/>
        <w:spacing w:after="0" w:line="360" w:lineRule="auto"/>
        <w:ind w:firstLine="444" w:firstLineChars="200"/>
        <w:rPr>
          <w:rFonts w:ascii="宋体" w:hAnsi="宋体" w:eastAsia="宋体" w:cs="宋体"/>
          <w:color w:val="auto"/>
          <w:spacing w:val="6"/>
        </w:rPr>
      </w:pPr>
      <w:r>
        <w:rPr>
          <w:rFonts w:hint="eastAsia" w:ascii="宋体" w:hAnsi="宋体" w:eastAsia="宋体" w:cs="宋体"/>
          <w:color w:val="auto"/>
          <w:spacing w:val="6"/>
          <w:sz w:val="21"/>
          <w:szCs w:val="21"/>
        </w:rPr>
        <w:t>本单位郑重声明，根据《财政部 民政部 中国残疾人联合会关于促进残疾人就业政府采购政策的通知》（财库</w:t>
      </w:r>
      <w:r>
        <w:rPr>
          <w:rFonts w:hint="eastAsia" w:ascii="宋体" w:hAnsi="宋体" w:eastAsia="宋体" w:cs="宋体"/>
          <w:color w:val="auto"/>
          <w:sz w:val="21"/>
          <w:szCs w:val="21"/>
        </w:rPr>
        <w:t>〔2017〕141</w:t>
      </w:r>
      <w:r>
        <w:rPr>
          <w:rFonts w:hint="eastAsia" w:ascii="宋体" w:hAnsi="宋体" w:eastAsia="宋体" w:cs="宋体"/>
          <w:color w:val="auto"/>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val="0"/>
        <w:autoSpaceDE w:val="0"/>
        <w:autoSpaceDN w:val="0"/>
        <w:spacing w:after="0" w:line="360" w:lineRule="auto"/>
        <w:ind w:firstLine="444" w:firstLineChars="200"/>
        <w:rPr>
          <w:rFonts w:ascii="宋体" w:hAnsi="宋体" w:eastAsia="宋体" w:cs="宋体"/>
          <w:color w:val="auto"/>
          <w:spacing w:val="6"/>
        </w:rPr>
      </w:pPr>
      <w:r>
        <w:rPr>
          <w:rFonts w:hint="eastAsia" w:ascii="宋体" w:hAnsi="宋体" w:eastAsia="宋体" w:cs="宋体"/>
          <w:color w:val="auto"/>
          <w:spacing w:val="6"/>
          <w:sz w:val="21"/>
          <w:szCs w:val="21"/>
        </w:rPr>
        <w:t>本单位对上述声明的真实性负责。如有虚假，将依法承担相应责任。</w:t>
      </w:r>
    </w:p>
    <w:p>
      <w:pPr>
        <w:widowControl w:val="0"/>
        <w:tabs>
          <w:tab w:val="left" w:pos="4860"/>
        </w:tabs>
        <w:autoSpaceDE w:val="0"/>
        <w:autoSpaceDN w:val="0"/>
        <w:spacing w:after="0" w:line="360" w:lineRule="auto"/>
        <w:ind w:right="1560" w:firstLine="444" w:firstLineChars="200"/>
        <w:jc w:val="center"/>
        <w:rPr>
          <w:rFonts w:ascii="宋体" w:hAnsi="宋体" w:eastAsia="宋体" w:cs="宋体"/>
          <w:color w:val="auto"/>
          <w:spacing w:val="6"/>
        </w:rPr>
      </w:pPr>
      <w:r>
        <w:rPr>
          <w:rFonts w:hint="eastAsia" w:ascii="宋体" w:hAnsi="宋体" w:eastAsia="宋体" w:cs="宋体"/>
          <w:color w:val="auto"/>
          <w:spacing w:val="6"/>
          <w:sz w:val="21"/>
          <w:szCs w:val="21"/>
        </w:rPr>
        <w:t>单位名称（盖章）：</w:t>
      </w:r>
    </w:p>
    <w:p>
      <w:pPr>
        <w:widowControl w:val="0"/>
        <w:tabs>
          <w:tab w:val="left" w:pos="4860"/>
        </w:tabs>
        <w:autoSpaceDE w:val="0"/>
        <w:autoSpaceDN w:val="0"/>
        <w:spacing w:after="0" w:line="360" w:lineRule="auto"/>
        <w:ind w:right="1560" w:firstLine="444" w:firstLineChars="200"/>
        <w:jc w:val="center"/>
        <w:rPr>
          <w:rFonts w:ascii="宋体" w:hAnsi="宋体" w:eastAsia="宋体" w:cs="宋体"/>
          <w:color w:val="auto"/>
          <w:spacing w:val="6"/>
        </w:rPr>
      </w:pPr>
      <w:r>
        <w:rPr>
          <w:rFonts w:hint="eastAsia" w:ascii="宋体" w:hAnsi="宋体" w:eastAsia="宋体" w:cs="宋体"/>
          <w:color w:val="auto"/>
          <w:spacing w:val="6"/>
          <w:sz w:val="21"/>
          <w:szCs w:val="21"/>
        </w:rPr>
        <w:t>日  期：</w:t>
      </w:r>
    </w:p>
    <w:bookmarkEnd w:id="84"/>
    <w:bookmarkEnd w:id="85"/>
    <w:bookmarkEnd w:id="86"/>
    <w:bookmarkEnd w:id="87"/>
    <w:p>
      <w:pPr>
        <w:pStyle w:val="2"/>
        <w:adjustRightInd w:val="0"/>
        <w:spacing w:beforeLines="50" w:after="0" w:line="360" w:lineRule="auto"/>
        <w:jc w:val="center"/>
        <w:rPr>
          <w:b w:val="0"/>
          <w:color w:val="auto"/>
        </w:rPr>
      </w:pPr>
      <w:r>
        <w:rPr>
          <w:rFonts w:hint="eastAsia" w:ascii="Times New Roman" w:hAnsi="Times New Roman" w:eastAsia="宋体" w:cs="宋体"/>
          <w:color w:val="auto"/>
          <w:sz w:val="28"/>
          <w:szCs w:val="28"/>
        </w:rPr>
        <w:br w:type="page"/>
      </w:r>
      <w:r>
        <w:rPr>
          <w:rFonts w:hint="eastAsia"/>
          <w:b w:val="0"/>
          <w:color w:val="auto"/>
        </w:rPr>
        <w:t>政策功能情况（如适用）</w:t>
      </w:r>
    </w:p>
    <w:p>
      <w:pPr>
        <w:tabs>
          <w:tab w:val="left" w:pos="7740"/>
        </w:tabs>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项目名称：白云区消防救援大队大源村消防安全综合治理项目</w:t>
      </w:r>
    </w:p>
    <w:p>
      <w:pPr>
        <w:tabs>
          <w:tab w:val="left" w:pos="7740"/>
        </w:tabs>
        <w:spacing w:line="360" w:lineRule="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项目编号：GZGX20GZ00ZC-33</w:t>
      </w:r>
    </w:p>
    <w:tbl>
      <w:tblPr>
        <w:tblStyle w:val="21"/>
        <w:tblW w:w="95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956"/>
        <w:gridCol w:w="1303"/>
        <w:gridCol w:w="1239"/>
        <w:gridCol w:w="1239"/>
        <w:gridCol w:w="1272"/>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976"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类别</w:t>
            </w:r>
          </w:p>
        </w:tc>
        <w:tc>
          <w:tcPr>
            <w:tcW w:w="1956"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投标产品</w:t>
            </w:r>
          </w:p>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（规格型号）</w:t>
            </w:r>
          </w:p>
        </w:tc>
        <w:tc>
          <w:tcPr>
            <w:tcW w:w="1303"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制造商</w:t>
            </w:r>
          </w:p>
        </w:tc>
        <w:tc>
          <w:tcPr>
            <w:tcW w:w="1239"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认证证书编号</w:t>
            </w:r>
          </w:p>
        </w:tc>
        <w:tc>
          <w:tcPr>
            <w:tcW w:w="1239"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清 单</w:t>
            </w:r>
          </w:p>
        </w:tc>
        <w:tc>
          <w:tcPr>
            <w:tcW w:w="1272"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金额</w:t>
            </w:r>
          </w:p>
        </w:tc>
        <w:tc>
          <w:tcPr>
            <w:tcW w:w="1563"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金额占总报价比重（累计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restart"/>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节能产品</w:t>
            </w:r>
          </w:p>
        </w:tc>
        <w:tc>
          <w:tcPr>
            <w:tcW w:w="1956"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303"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第</w:t>
            </w:r>
            <w:r>
              <w:rPr>
                <w:rFonts w:hint="eastAsia" w:asciiTheme="minorEastAsia" w:hAnsiTheme="minorEastAsia" w:eastAsiaTheme="minorEastAsia"/>
                <w:color w:val="auto"/>
                <w:sz w:val="21"/>
                <w:szCs w:val="21"/>
                <w:u w:val="single"/>
                <w:lang w:val="en-GB"/>
              </w:rPr>
              <w:t>　</w:t>
            </w:r>
            <w:r>
              <w:rPr>
                <w:rFonts w:hint="eastAsia" w:asciiTheme="minorEastAsia" w:hAnsiTheme="minorEastAsia" w:eastAsiaTheme="minorEastAsia"/>
                <w:color w:val="auto"/>
                <w:sz w:val="21"/>
                <w:szCs w:val="21"/>
                <w:lang w:val="en-GB"/>
              </w:rPr>
              <w:t>期清单</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continue"/>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956"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303"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第</w:t>
            </w:r>
            <w:r>
              <w:rPr>
                <w:rFonts w:hint="eastAsia" w:asciiTheme="minorEastAsia" w:hAnsiTheme="minorEastAsia" w:eastAsiaTheme="minorEastAsia"/>
                <w:color w:val="auto"/>
                <w:sz w:val="21"/>
                <w:szCs w:val="21"/>
                <w:u w:val="single"/>
                <w:lang w:val="en-GB"/>
              </w:rPr>
              <w:t>　</w:t>
            </w:r>
            <w:r>
              <w:rPr>
                <w:rFonts w:hint="eastAsia" w:asciiTheme="minorEastAsia" w:hAnsiTheme="minorEastAsia" w:eastAsiaTheme="minorEastAsia"/>
                <w:color w:val="auto"/>
                <w:sz w:val="21"/>
                <w:szCs w:val="21"/>
                <w:lang w:val="en-GB"/>
              </w:rPr>
              <w:t>期清单</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continue"/>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5737" w:type="dxa"/>
            <w:gridSpan w:val="4"/>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合计</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restart"/>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环保标志产品</w:t>
            </w:r>
          </w:p>
        </w:tc>
        <w:tc>
          <w:tcPr>
            <w:tcW w:w="1956"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303"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第</w:t>
            </w:r>
            <w:r>
              <w:rPr>
                <w:rFonts w:hint="eastAsia" w:asciiTheme="minorEastAsia" w:hAnsiTheme="minorEastAsia" w:eastAsiaTheme="minorEastAsia"/>
                <w:color w:val="auto"/>
                <w:sz w:val="21"/>
                <w:szCs w:val="21"/>
                <w:u w:val="single"/>
                <w:lang w:val="en-GB"/>
              </w:rPr>
              <w:t>　</w:t>
            </w:r>
            <w:r>
              <w:rPr>
                <w:rFonts w:hint="eastAsia" w:asciiTheme="minorEastAsia" w:hAnsiTheme="minorEastAsia" w:eastAsiaTheme="minorEastAsia"/>
                <w:color w:val="auto"/>
                <w:sz w:val="21"/>
                <w:szCs w:val="21"/>
                <w:lang w:val="en-GB"/>
              </w:rPr>
              <w:t>期清单</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continue"/>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p>
        </w:tc>
        <w:tc>
          <w:tcPr>
            <w:tcW w:w="1956"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303"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239" w:type="dxa"/>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第</w:t>
            </w:r>
            <w:r>
              <w:rPr>
                <w:rFonts w:hint="eastAsia" w:asciiTheme="minorEastAsia" w:hAnsiTheme="minorEastAsia" w:eastAsiaTheme="minorEastAsia"/>
                <w:color w:val="auto"/>
                <w:sz w:val="21"/>
                <w:szCs w:val="21"/>
                <w:u w:val="single"/>
                <w:lang w:val="en-GB"/>
              </w:rPr>
              <w:t>　</w:t>
            </w:r>
            <w:r>
              <w:rPr>
                <w:rFonts w:hint="eastAsia" w:asciiTheme="minorEastAsia" w:hAnsiTheme="minorEastAsia" w:eastAsiaTheme="minorEastAsia"/>
                <w:color w:val="auto"/>
                <w:sz w:val="21"/>
                <w:szCs w:val="21"/>
                <w:lang w:val="en-GB"/>
              </w:rPr>
              <w:t>期清单</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Merge w:val="continue"/>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p>
        </w:tc>
        <w:tc>
          <w:tcPr>
            <w:tcW w:w="5737" w:type="dxa"/>
            <w:gridSpan w:val="4"/>
            <w:vAlign w:val="center"/>
          </w:tcPr>
          <w:p>
            <w:pPr>
              <w:tabs>
                <w:tab w:val="left" w:pos="1260"/>
              </w:tabs>
              <w:spacing w:after="0"/>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合计</w:t>
            </w:r>
          </w:p>
        </w:tc>
        <w:tc>
          <w:tcPr>
            <w:tcW w:w="1272" w:type="dxa"/>
            <w:vAlign w:val="center"/>
          </w:tcPr>
          <w:p>
            <w:pPr>
              <w:tabs>
                <w:tab w:val="left" w:pos="1260"/>
              </w:tabs>
              <w:spacing w:after="0"/>
              <w:jc w:val="center"/>
              <w:rPr>
                <w:rFonts w:asciiTheme="minorEastAsia" w:hAnsiTheme="minorEastAsia" w:eastAsiaTheme="minorEastAsia"/>
                <w:color w:val="auto"/>
                <w:sz w:val="21"/>
                <w:szCs w:val="21"/>
                <w:lang w:val="en-GB"/>
              </w:rPr>
            </w:pPr>
          </w:p>
        </w:tc>
        <w:tc>
          <w:tcPr>
            <w:tcW w:w="1563" w:type="dxa"/>
            <w:vAlign w:val="center"/>
          </w:tcPr>
          <w:p>
            <w:pPr>
              <w:tabs>
                <w:tab w:val="left" w:pos="1260"/>
              </w:tabs>
              <w:spacing w:after="0"/>
              <w:jc w:val="center"/>
              <w:rPr>
                <w:rFonts w:asciiTheme="minorEastAsia" w:hAnsiTheme="minorEastAsia" w:eastAsiaTheme="minorEastAsia"/>
                <w:color w:val="auto"/>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6" w:type="dxa"/>
            <w:vAlign w:val="center"/>
          </w:tcPr>
          <w:p>
            <w:pPr>
              <w:tabs>
                <w:tab w:val="left" w:pos="1260"/>
              </w:tabs>
              <w:spacing w:after="0"/>
              <w:ind w:left="-90" w:leftChars="-41" w:right="-75" w:rightChars="-34"/>
              <w:jc w:val="center"/>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说明</w:t>
            </w:r>
          </w:p>
        </w:tc>
        <w:tc>
          <w:tcPr>
            <w:tcW w:w="8572" w:type="dxa"/>
            <w:gridSpan w:val="6"/>
            <w:vAlign w:val="center"/>
          </w:tcPr>
          <w:p>
            <w:pPr>
              <w:tabs>
                <w:tab w:val="left" w:pos="1260"/>
              </w:tabs>
              <w:spacing w:after="0"/>
              <w:rPr>
                <w:rFonts w:asciiTheme="minorEastAsia" w:hAnsiTheme="minorEastAsia" w:eastAsiaTheme="minorEastAsia"/>
                <w:color w:val="auto"/>
                <w:sz w:val="21"/>
                <w:szCs w:val="21"/>
                <w:lang w:val="en-GB"/>
              </w:rPr>
            </w:pPr>
          </w:p>
        </w:tc>
      </w:tr>
    </w:tbl>
    <w:p>
      <w:pPr>
        <w:tabs>
          <w:tab w:val="left" w:pos="360"/>
          <w:tab w:val="left" w:pos="993"/>
        </w:tabs>
        <w:spacing w:afterLines="100"/>
        <w:ind w:left="-147" w:leftChars="-67"/>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注：</w:t>
      </w:r>
    </w:p>
    <w:p>
      <w:pPr>
        <w:tabs>
          <w:tab w:val="left" w:pos="360"/>
          <w:tab w:val="left" w:pos="993"/>
        </w:tabs>
        <w:spacing w:afterLines="100"/>
        <w:ind w:left="444" w:leftChars="202"/>
        <w:rPr>
          <w:rFonts w:asciiTheme="minorEastAsia" w:hAnsiTheme="minorEastAsia" w:eastAsiaTheme="minorEastAsia"/>
          <w:color w:val="auto"/>
          <w:sz w:val="21"/>
          <w:szCs w:val="21"/>
          <w:lang w:val="en-GB"/>
        </w:rPr>
      </w:pPr>
      <w:r>
        <w:rPr>
          <w:rFonts w:hint="eastAsia" w:asciiTheme="minorEastAsia" w:hAnsiTheme="minorEastAsia" w:eastAsiaTheme="minorEastAsia"/>
          <w:color w:val="auto"/>
          <w:sz w:val="21"/>
          <w:szCs w:val="21"/>
          <w:lang w:val="en-GB"/>
        </w:rPr>
        <w:t>1.节能产品须填写认证证书编号，并提供投标产品的节能产品认证证书复印件加盖响应供应商公章。</w:t>
      </w:r>
    </w:p>
    <w:p>
      <w:pPr>
        <w:pStyle w:val="63"/>
        <w:tabs>
          <w:tab w:val="left" w:pos="284"/>
          <w:tab w:val="left" w:pos="993"/>
        </w:tabs>
        <w:spacing w:afterLines="100"/>
        <w:ind w:left="587" w:leftChars="200" w:hanging="147" w:firstLineChars="0"/>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lang w:val="en-GB"/>
        </w:rPr>
        <w:t>2.环保标志产品须填写认证证书编号，并提供投标产品的环保标志产品认证证书复印件加盖响应供应商公章</w:t>
      </w:r>
      <w:r>
        <w:rPr>
          <w:rFonts w:hint="eastAsia" w:asciiTheme="minorEastAsia" w:hAnsiTheme="minorEastAsia" w:eastAsiaTheme="minorEastAsia"/>
          <w:color w:val="auto"/>
          <w:sz w:val="21"/>
          <w:szCs w:val="21"/>
        </w:rPr>
        <w:t>。</w:t>
      </w:r>
    </w:p>
    <w:p>
      <w:pPr>
        <w:spacing w:line="500" w:lineRule="exact"/>
        <w:ind w:left="420"/>
        <w:rPr>
          <w:rFonts w:asciiTheme="minorEastAsia" w:hAnsiTheme="minorEastAsia" w:eastAsiaTheme="minorEastAsia"/>
          <w:color w:val="auto"/>
          <w:spacing w:val="4"/>
          <w:sz w:val="21"/>
          <w:szCs w:val="21"/>
        </w:rPr>
      </w:pPr>
    </w:p>
    <w:p>
      <w:pPr>
        <w:spacing w:line="500" w:lineRule="exact"/>
        <w:rPr>
          <w:rFonts w:asciiTheme="minorEastAsia" w:hAnsiTheme="minorEastAsia" w:eastAsiaTheme="minorEastAsia"/>
          <w:color w:val="auto"/>
          <w:sz w:val="21"/>
          <w:szCs w:val="21"/>
          <w:u w:val="single"/>
        </w:rPr>
      </w:pPr>
      <w:r>
        <w:rPr>
          <w:rFonts w:hint="eastAsia" w:asciiTheme="minorEastAsia" w:hAnsiTheme="minorEastAsia" w:eastAsiaTheme="minorEastAsia"/>
          <w:color w:val="auto"/>
          <w:spacing w:val="4"/>
          <w:sz w:val="21"/>
          <w:szCs w:val="21"/>
        </w:rPr>
        <w:t>响应供应商名称（盖公章）：</w:t>
      </w:r>
      <w:r>
        <w:rPr>
          <w:rFonts w:hint="eastAsia" w:asciiTheme="minorEastAsia" w:hAnsiTheme="minorEastAsia" w:eastAsiaTheme="minorEastAsia"/>
          <w:color w:val="auto"/>
          <w:spacing w:val="4"/>
          <w:sz w:val="21"/>
          <w:szCs w:val="21"/>
          <w:u w:val="single"/>
        </w:rPr>
        <w:t xml:space="preserve">                             </w:t>
      </w:r>
    </w:p>
    <w:p>
      <w:pPr>
        <w:spacing w:line="520" w:lineRule="exact"/>
        <w:rPr>
          <w:rFonts w:asciiTheme="minorEastAsia" w:hAnsiTheme="minorEastAsia" w:eastAsiaTheme="minorEastAsia"/>
          <w:color w:val="auto"/>
          <w:spacing w:val="4"/>
          <w:sz w:val="21"/>
          <w:szCs w:val="21"/>
          <w:u w:val="single"/>
        </w:rPr>
      </w:pPr>
      <w:r>
        <w:rPr>
          <w:rFonts w:hint="eastAsia" w:asciiTheme="minorEastAsia" w:hAnsiTheme="minorEastAsia" w:eastAsiaTheme="minorEastAsia"/>
          <w:color w:val="auto"/>
          <w:spacing w:val="4"/>
          <w:sz w:val="21"/>
          <w:szCs w:val="21"/>
        </w:rPr>
        <w:t>日期：</w:t>
      </w:r>
      <w:r>
        <w:rPr>
          <w:rFonts w:asciiTheme="minorEastAsia" w:hAnsiTheme="minorEastAsia" w:eastAsiaTheme="minorEastAsia"/>
          <w:color w:val="auto"/>
          <w:spacing w:val="4"/>
          <w:sz w:val="21"/>
          <w:szCs w:val="21"/>
          <w:u w:val="single"/>
        </w:rPr>
        <w:t xml:space="preserve">         </w:t>
      </w:r>
    </w:p>
    <w:p>
      <w:pPr>
        <w:pStyle w:val="2"/>
        <w:adjustRightInd w:val="0"/>
        <w:spacing w:beforeLines="50" w:afterLines="50" w:line="360" w:lineRule="auto"/>
        <w:jc w:val="center"/>
        <w:rPr>
          <w:rFonts w:asciiTheme="minorEastAsia" w:hAnsiTheme="minorEastAsia" w:eastAsiaTheme="minorEastAsia"/>
          <w:b w:val="0"/>
          <w:color w:val="auto"/>
          <w:sz w:val="21"/>
          <w:szCs w:val="21"/>
        </w:rPr>
        <w:sectPr>
          <w:type w:val="nextColumn"/>
          <w:pgSz w:w="11906" w:h="16838"/>
          <w:pgMar w:top="1440" w:right="1134" w:bottom="1134" w:left="1440" w:header="754" w:footer="816" w:gutter="0"/>
          <w:pgBorders>
            <w:top w:val="none" w:sz="0" w:space="0"/>
            <w:left w:val="none" w:sz="0" w:space="0"/>
            <w:bottom w:val="none" w:sz="0" w:space="0"/>
            <w:right w:val="none" w:sz="0" w:space="0"/>
          </w:pgBorders>
          <w:cols w:space="720" w:num="1"/>
          <w:docGrid w:linePitch="312" w:charSpace="0"/>
        </w:sectPr>
      </w:pPr>
    </w:p>
    <w:p>
      <w:pPr>
        <w:rPr>
          <w:rFonts w:ascii="Times New Roman" w:hAnsi="Times New Roman" w:eastAsia="宋体" w:cs="宋体"/>
          <w:b/>
          <w:color w:val="auto"/>
          <w:sz w:val="28"/>
          <w:szCs w:val="28"/>
        </w:rPr>
      </w:pPr>
    </w:p>
    <w:p>
      <w:pPr>
        <w:widowControl w:val="0"/>
        <w:autoSpaceDN w:val="0"/>
        <w:adjustRightInd/>
        <w:spacing w:after="0" w:afterAutospacing="1" w:line="440" w:lineRule="exact"/>
        <w:jc w:val="center"/>
        <w:rPr>
          <w:b/>
          <w:color w:val="auto"/>
          <w:sz w:val="28"/>
          <w:szCs w:val="28"/>
        </w:rPr>
      </w:pPr>
      <w:r>
        <w:rPr>
          <w:rFonts w:hint="eastAsia" w:ascii="Times New Roman" w:hAnsi="Times New Roman" w:eastAsia="宋体" w:cs="宋体"/>
          <w:b/>
          <w:color w:val="auto"/>
          <w:sz w:val="28"/>
          <w:szCs w:val="28"/>
        </w:rPr>
        <w:t>用户需求响应一览表</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说明：响应供应商必须对应竞争性磋商文件的用户需求书条款逐条应答并按要求填写下表。</w:t>
      </w:r>
    </w:p>
    <w:p>
      <w:pPr>
        <w:wordWrap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响应供应商名称：                                    项目编号：GZGX20GZ00ZC-33</w:t>
      </w:r>
    </w:p>
    <w:tbl>
      <w:tblPr>
        <w:tblStyle w:val="21"/>
        <w:tblW w:w="946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4"/>
        <w:gridCol w:w="2549"/>
        <w:gridCol w:w="2834"/>
        <w:gridCol w:w="1653"/>
        <w:gridCol w:w="18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624" w:type="dxa"/>
            <w:tcBorders>
              <w:top w:val="single" w:color="auto" w:sz="12" w:space="0"/>
              <w:left w:val="single" w:color="auto" w:sz="12" w:space="0"/>
              <w:bottom w:val="double" w:color="auto" w:sz="4" w:space="0"/>
              <w:right w:val="single" w:color="auto" w:sz="4" w:space="0"/>
            </w:tcBorders>
            <w:shd w:val="clear" w:color="auto" w:fill="EEECE1"/>
            <w:vAlign w:val="center"/>
          </w:tcPr>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color w:val="auto"/>
                <w:kern w:val="2"/>
                <w:sz w:val="21"/>
                <w:szCs w:val="21"/>
              </w:rPr>
              <w:t>序号</w:t>
            </w:r>
          </w:p>
        </w:tc>
        <w:tc>
          <w:tcPr>
            <w:tcW w:w="2549"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color w:val="auto"/>
                <w:kern w:val="2"/>
                <w:sz w:val="21"/>
                <w:szCs w:val="21"/>
              </w:rPr>
              <w:t>竞争性磋商文件条款描述</w:t>
            </w:r>
          </w:p>
        </w:tc>
        <w:tc>
          <w:tcPr>
            <w:tcW w:w="2834"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color w:val="auto"/>
                <w:kern w:val="2"/>
                <w:sz w:val="21"/>
                <w:szCs w:val="21"/>
              </w:rPr>
              <w:t>响应供应商响应描述</w:t>
            </w:r>
          </w:p>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b/>
                <w:color w:val="auto"/>
                <w:kern w:val="2"/>
                <w:sz w:val="21"/>
                <w:szCs w:val="21"/>
              </w:rPr>
              <w:t>(投标供应商应如实填写)</w:t>
            </w:r>
          </w:p>
        </w:tc>
        <w:tc>
          <w:tcPr>
            <w:tcW w:w="1653"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color w:val="auto"/>
                <w:kern w:val="2"/>
                <w:sz w:val="21"/>
                <w:szCs w:val="21"/>
              </w:rPr>
              <w:t>偏离情况说明</w:t>
            </w:r>
          </w:p>
          <w:p>
            <w:pPr>
              <w:widowControl w:val="0"/>
              <w:autoSpaceDE w:val="0"/>
              <w:autoSpaceDN w:val="0"/>
              <w:spacing w:after="0"/>
              <w:jc w:val="center"/>
              <w:rPr>
                <w:rFonts w:ascii="宋体" w:hAnsi="宋体" w:eastAsia="宋体" w:cs="宋体"/>
                <w:b/>
                <w:color w:val="auto"/>
                <w:kern w:val="2"/>
              </w:rPr>
            </w:pPr>
            <w:r>
              <w:rPr>
                <w:rFonts w:hint="eastAsia" w:ascii="宋体" w:hAnsi="宋体" w:eastAsia="宋体" w:cs="宋体"/>
                <w:b/>
                <w:color w:val="auto"/>
                <w:kern w:val="2"/>
                <w:sz w:val="21"/>
                <w:szCs w:val="21"/>
              </w:rPr>
              <w:t>（</w:t>
            </w:r>
            <w:r>
              <w:rPr>
                <w:rFonts w:hint="eastAsia" w:ascii="Times New Roman" w:hAnsi="Times New Roman" w:eastAsia="宋体" w:cs="宋体"/>
                <w:b/>
                <w:color w:val="auto"/>
                <w:kern w:val="2"/>
                <w:sz w:val="21"/>
                <w:szCs w:val="21"/>
              </w:rPr>
              <w:t>正偏离</w:t>
            </w:r>
            <w:r>
              <w:rPr>
                <w:rFonts w:ascii="Times New Roman" w:hAnsi="Times New Roman" w:eastAsia="宋体" w:cs="Times New Roman"/>
                <w:b/>
                <w:color w:val="auto"/>
                <w:kern w:val="2"/>
                <w:sz w:val="21"/>
                <w:szCs w:val="21"/>
              </w:rPr>
              <w:t>/</w:t>
            </w:r>
            <w:r>
              <w:rPr>
                <w:rFonts w:hint="eastAsia" w:ascii="Times New Roman" w:hAnsi="Times New Roman" w:eastAsia="宋体" w:cs="宋体"/>
                <w:b/>
                <w:color w:val="auto"/>
                <w:kern w:val="2"/>
                <w:sz w:val="21"/>
                <w:szCs w:val="21"/>
              </w:rPr>
              <w:t>完全响应</w:t>
            </w:r>
            <w:r>
              <w:rPr>
                <w:rFonts w:ascii="Times New Roman" w:hAnsi="Times New Roman" w:eastAsia="宋体" w:cs="Times New Roman"/>
                <w:b/>
                <w:color w:val="auto"/>
                <w:kern w:val="2"/>
                <w:sz w:val="21"/>
                <w:szCs w:val="21"/>
              </w:rPr>
              <w:t>/</w:t>
            </w:r>
            <w:r>
              <w:rPr>
                <w:rFonts w:hint="eastAsia" w:ascii="Times New Roman" w:hAnsi="Times New Roman" w:eastAsia="宋体" w:cs="宋体"/>
                <w:b/>
                <w:color w:val="auto"/>
                <w:kern w:val="2"/>
                <w:sz w:val="21"/>
                <w:szCs w:val="21"/>
              </w:rPr>
              <w:t>负偏离</w:t>
            </w:r>
            <w:r>
              <w:rPr>
                <w:rFonts w:hint="eastAsia" w:ascii="宋体" w:hAnsi="宋体" w:eastAsia="宋体" w:cs="宋体"/>
                <w:b/>
                <w:color w:val="auto"/>
                <w:kern w:val="2"/>
                <w:sz w:val="21"/>
                <w:szCs w:val="21"/>
              </w:rPr>
              <w:t>）</w:t>
            </w:r>
          </w:p>
        </w:tc>
        <w:tc>
          <w:tcPr>
            <w:tcW w:w="1802" w:type="dxa"/>
            <w:tcBorders>
              <w:top w:val="single" w:color="auto" w:sz="12" w:space="0"/>
              <w:left w:val="single" w:color="auto" w:sz="4" w:space="0"/>
              <w:bottom w:val="double" w:color="auto" w:sz="4" w:space="0"/>
              <w:right w:val="single" w:color="auto" w:sz="12" w:space="0"/>
            </w:tcBorders>
            <w:shd w:val="clear" w:color="auto" w:fill="EEECE1"/>
            <w:vAlign w:val="center"/>
          </w:tcPr>
          <w:p>
            <w:pPr>
              <w:widowControl w:val="0"/>
              <w:autoSpaceDE w:val="0"/>
              <w:autoSpaceDN w:val="0"/>
              <w:spacing w:after="0"/>
              <w:ind w:left="-75" w:leftChars="-34" w:right="-77" w:rightChars="-35"/>
              <w:jc w:val="center"/>
              <w:rPr>
                <w:rFonts w:ascii="宋体" w:hAnsi="宋体" w:eastAsia="宋体" w:cs="宋体"/>
                <w:color w:val="auto"/>
                <w:kern w:val="2"/>
              </w:rPr>
            </w:pPr>
            <w:r>
              <w:rPr>
                <w:rFonts w:hint="eastAsia" w:ascii="宋体" w:hAnsi="宋体" w:eastAsia="宋体" w:cs="宋体"/>
                <w:color w:val="auto"/>
                <w:kern w:val="2"/>
                <w:sz w:val="21"/>
                <w:szCs w:val="21"/>
              </w:rPr>
              <w:t>查阅/文件指引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8"/>
              <w:widowControl/>
              <w:tabs>
                <w:tab w:val="left" w:pos="540"/>
              </w:tabs>
              <w:adjustRightInd w:val="0"/>
              <w:rPr>
                <w:rFonts w:hint="default" w:hAnsi="宋体" w:cs="宋体"/>
                <w:color w:val="auto"/>
                <w:kern w:val="2"/>
              </w:rPr>
            </w:pPr>
          </w:p>
        </w:tc>
        <w:tc>
          <w:tcPr>
            <w:tcW w:w="2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sz w:val="21"/>
                <w:szCs w:val="21"/>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2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2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2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2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24" w:type="dxa"/>
            <w:tcBorders>
              <w:top w:val="single" w:color="auto" w:sz="4" w:space="0"/>
              <w:left w:val="single" w:color="auto" w:sz="12" w:space="0"/>
              <w:bottom w:val="single" w:color="auto" w:sz="12" w:space="0"/>
              <w:right w:val="single" w:color="auto" w:sz="4" w:space="0"/>
            </w:tcBorders>
            <w:shd w:val="clear" w:color="auto" w:fill="auto"/>
            <w:vAlign w:val="center"/>
          </w:tcPr>
          <w:p>
            <w:pPr>
              <w:widowControl w:val="0"/>
              <w:numPr>
                <w:ilvl w:val="0"/>
                <w:numId w:val="55"/>
              </w:numPr>
              <w:autoSpaceDN w:val="0"/>
              <w:adjustRightInd/>
              <w:spacing w:after="0"/>
              <w:jc w:val="center"/>
              <w:rPr>
                <w:rFonts w:ascii="宋体" w:hAnsi="宋体" w:eastAsia="宋体" w:cs="宋体"/>
                <w:color w:val="auto"/>
                <w:kern w:val="2"/>
              </w:rPr>
            </w:pPr>
          </w:p>
        </w:tc>
        <w:tc>
          <w:tcPr>
            <w:tcW w:w="2549"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2834"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53"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02" w:type="dxa"/>
            <w:tcBorders>
              <w:top w:val="single" w:color="auto" w:sz="4" w:space="0"/>
              <w:left w:val="single" w:color="auto" w:sz="4" w:space="0"/>
              <w:bottom w:val="single" w:color="auto" w:sz="12"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sz w:val="21"/>
                <w:szCs w:val="21"/>
              </w:rPr>
              <w:t>见《响应文件》第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页</w:t>
            </w:r>
          </w:p>
        </w:tc>
      </w:tr>
    </w:tbl>
    <w:p>
      <w:pPr>
        <w:widowControl w:val="0"/>
        <w:autoSpaceDE w:val="0"/>
        <w:autoSpaceDN w:val="0"/>
        <w:spacing w:after="0" w:line="360" w:lineRule="auto"/>
        <w:ind w:right="88" w:rightChars="40"/>
        <w:rPr>
          <w:rFonts w:ascii="宋体" w:hAnsi="宋体" w:eastAsia="宋体" w:cs="宋体"/>
          <w:color w:val="auto"/>
        </w:rPr>
      </w:pPr>
      <w:r>
        <w:rPr>
          <w:rFonts w:hint="eastAsia" w:ascii="宋体" w:hAnsi="宋体" w:eastAsia="宋体" w:cs="宋体"/>
          <w:color w:val="auto"/>
          <w:sz w:val="21"/>
          <w:szCs w:val="21"/>
        </w:rPr>
        <w:t>备注：</w:t>
      </w:r>
    </w:p>
    <w:p>
      <w:pPr>
        <w:widowControl w:val="0"/>
        <w:numPr>
          <w:ilvl w:val="0"/>
          <w:numId w:val="56"/>
        </w:numPr>
        <w:autoSpaceDN w:val="0"/>
        <w:spacing w:after="0" w:line="360" w:lineRule="auto"/>
        <w:ind w:right="88" w:rightChars="40"/>
        <w:jc w:val="both"/>
        <w:rPr>
          <w:rFonts w:ascii="宋体" w:hAnsi="宋体" w:eastAsia="宋体" w:cs="宋体"/>
          <w:color w:val="auto"/>
        </w:rPr>
      </w:pPr>
      <w:r>
        <w:rPr>
          <w:rFonts w:hint="eastAsia" w:ascii="宋体" w:hAnsi="宋体" w:eastAsia="宋体" w:cs="宋体"/>
          <w:color w:val="auto"/>
          <w:sz w:val="21"/>
          <w:szCs w:val="21"/>
        </w:rPr>
        <w:t>本表的“竞争性磋商文件条款描述”的条款与用户需求中的条款描述不一致的，以用户需求中规定的为准。</w:t>
      </w:r>
    </w:p>
    <w:p>
      <w:pPr>
        <w:widowControl w:val="0"/>
        <w:numPr>
          <w:ilvl w:val="0"/>
          <w:numId w:val="56"/>
        </w:numPr>
        <w:autoSpaceDN w:val="0"/>
        <w:adjustRightInd/>
        <w:spacing w:after="0" w:line="360" w:lineRule="auto"/>
        <w:ind w:right="88" w:rightChars="40"/>
        <w:jc w:val="both"/>
        <w:rPr>
          <w:rFonts w:ascii="宋体" w:hAnsi="宋体" w:eastAsia="宋体" w:cs="宋体"/>
          <w:color w:val="auto"/>
        </w:rPr>
      </w:pPr>
      <w:r>
        <w:rPr>
          <w:rFonts w:hint="eastAsia" w:ascii="宋体" w:hAnsi="宋体" w:eastAsia="宋体" w:cs="宋体"/>
          <w:color w:val="auto"/>
          <w:sz w:val="21"/>
          <w:szCs w:val="21"/>
        </w:rPr>
        <w:t>响应供应商必须按磋商文件要求提交相关文件，如有任何一条未响应或不满足的视为负偏离。</w:t>
      </w:r>
    </w:p>
    <w:p>
      <w:pPr>
        <w:widowControl w:val="0"/>
        <w:autoSpaceDE w:val="0"/>
        <w:autoSpaceDN w:val="0"/>
        <w:spacing w:after="0" w:line="500" w:lineRule="exact"/>
        <w:ind w:firstLine="456" w:firstLineChars="200"/>
        <w:rPr>
          <w:rFonts w:ascii="宋体" w:hAnsi="宋体" w:eastAsia="宋体" w:cs="宋体"/>
          <w:color w:val="auto"/>
          <w:spacing w:val="4"/>
        </w:rPr>
      </w:pPr>
    </w:p>
    <w:p>
      <w:pPr>
        <w:widowControl w:val="0"/>
        <w:autoSpaceDE w:val="0"/>
        <w:autoSpaceDN w:val="0"/>
        <w:spacing w:after="0" w:line="500" w:lineRule="exact"/>
        <w:rPr>
          <w:rFonts w:ascii="宋体" w:hAnsi="宋体" w:eastAsia="宋体" w:cs="宋体"/>
          <w:color w:val="auto"/>
          <w:u w:val="single"/>
        </w:rPr>
      </w:pPr>
      <w:r>
        <w:rPr>
          <w:rFonts w:hint="eastAsia" w:ascii="宋体" w:hAnsi="宋体" w:eastAsia="宋体" w:cs="宋体"/>
          <w:color w:val="auto"/>
          <w:spacing w:val="4"/>
          <w:sz w:val="21"/>
          <w:szCs w:val="21"/>
        </w:rPr>
        <w:t>响应供应商名称（盖公章）：</w:t>
      </w:r>
      <w:r>
        <w:rPr>
          <w:rFonts w:hint="eastAsia" w:ascii="宋体" w:hAnsi="宋体" w:eastAsia="宋体" w:cs="宋体"/>
          <w:color w:val="auto"/>
          <w:spacing w:val="4"/>
          <w:sz w:val="21"/>
          <w:szCs w:val="21"/>
          <w:u w:val="single"/>
        </w:rPr>
        <w:t xml:space="preserve">                             </w:t>
      </w:r>
    </w:p>
    <w:p>
      <w:pPr>
        <w:widowControl w:val="0"/>
        <w:autoSpaceDE w:val="0"/>
        <w:autoSpaceDN w:val="0"/>
        <w:spacing w:after="0" w:line="440" w:lineRule="exact"/>
        <w:rPr>
          <w:rFonts w:ascii="宋体" w:hAnsi="宋体" w:eastAsia="宋体" w:cs="宋体"/>
          <w:color w:val="auto"/>
          <w:spacing w:val="4"/>
          <w:u w:val="single"/>
        </w:rPr>
      </w:pPr>
      <w:r>
        <w:rPr>
          <w:rFonts w:hint="eastAsia" w:ascii="宋体" w:hAnsi="宋体" w:eastAsia="宋体" w:cs="宋体"/>
          <w:color w:val="auto"/>
          <w:spacing w:val="4"/>
          <w:sz w:val="21"/>
          <w:szCs w:val="21"/>
        </w:rPr>
        <w:t>日期：</w:t>
      </w:r>
      <w:r>
        <w:rPr>
          <w:rFonts w:hint="eastAsia" w:ascii="宋体" w:hAnsi="宋体" w:eastAsia="宋体" w:cs="宋体"/>
          <w:color w:val="auto"/>
          <w:spacing w:val="4"/>
          <w:sz w:val="21"/>
          <w:szCs w:val="21"/>
          <w:u w:val="single"/>
        </w:rPr>
        <w:t xml:space="preserve">       </w:t>
      </w:r>
    </w:p>
    <w:p>
      <w:pPr>
        <w:spacing w:line="360" w:lineRule="auto"/>
        <w:rPr>
          <w:rFonts w:ascii="Arial" w:hAnsi="Arial" w:eastAsia="黑体" w:cs="Times New Roman"/>
          <w:bCs/>
          <w:color w:val="auto"/>
          <w:sz w:val="32"/>
          <w:szCs w:val="32"/>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b w:val="0"/>
          <w:bCs/>
          <w:color w:val="auto"/>
        </w:rPr>
      </w:pPr>
      <w:bookmarkStart w:id="90" w:name="_Toc410738988"/>
      <w:bookmarkStart w:id="91" w:name="_Toc410736189"/>
      <w:bookmarkStart w:id="92" w:name="_Toc275865614"/>
      <w:r>
        <w:rPr>
          <w:rFonts w:hint="eastAsia" w:cs="黑体"/>
          <w:b w:val="0"/>
          <w:bCs/>
          <w:color w:val="auto"/>
        </w:rPr>
        <w:t>技术服务方案</w:t>
      </w:r>
    </w:p>
    <w:p>
      <w:pPr>
        <w:widowControl w:val="0"/>
        <w:autoSpaceDE w:val="0"/>
        <w:autoSpaceDN w:val="0"/>
        <w:spacing w:after="0" w:line="400" w:lineRule="exact"/>
        <w:rPr>
          <w:rFonts w:ascii="宋体" w:hAnsi="宋体" w:eastAsia="宋体" w:cs="宋体"/>
          <w:color w:val="auto"/>
        </w:rPr>
      </w:pPr>
    </w:p>
    <w:p>
      <w:pPr>
        <w:widowControl w:val="0"/>
        <w:autoSpaceDE w:val="0"/>
        <w:autoSpaceDN w:val="0"/>
        <w:spacing w:after="0" w:line="360" w:lineRule="auto"/>
        <w:rPr>
          <w:rFonts w:ascii="宋体" w:hAnsi="宋体" w:eastAsia="宋体" w:cs="宋体"/>
          <w:b/>
          <w:color w:val="auto"/>
          <w:sz w:val="21"/>
          <w:szCs w:val="21"/>
        </w:rPr>
      </w:pPr>
      <w:r>
        <w:rPr>
          <w:rFonts w:hint="eastAsia" w:ascii="宋体" w:hAnsi="宋体" w:eastAsia="宋体" w:cs="宋体"/>
          <w:b/>
          <w:color w:val="auto"/>
          <w:sz w:val="21"/>
          <w:szCs w:val="21"/>
        </w:rPr>
        <w:t>主要内容应包括但不限于以下内容（格式自定）：</w:t>
      </w:r>
    </w:p>
    <w:p>
      <w:pPr>
        <w:widowControl w:val="0"/>
        <w:numPr>
          <w:ilvl w:val="0"/>
          <w:numId w:val="57"/>
        </w:numPr>
        <w:autoSpaceDN w:val="0"/>
        <w:adjustRightInd/>
        <w:spacing w:after="0" w:line="520" w:lineRule="exact"/>
        <w:ind w:left="0" w:firstLine="0"/>
        <w:jc w:val="both"/>
        <w:rPr>
          <w:rFonts w:ascii="宋体" w:hAnsi="宋体" w:eastAsia="宋体" w:cs="宋体"/>
          <w:color w:val="auto"/>
          <w:sz w:val="21"/>
          <w:szCs w:val="21"/>
        </w:rPr>
      </w:pPr>
      <w:r>
        <w:rPr>
          <w:rFonts w:hint="eastAsia" w:ascii="宋体" w:hAnsi="宋体" w:eastAsia="宋体" w:cs="宋体"/>
          <w:color w:val="auto"/>
          <w:kern w:val="2"/>
          <w:sz w:val="21"/>
          <w:szCs w:val="21"/>
        </w:rPr>
        <w:t>“防消一体化”调度指挥体系及微型消防站调度指挥机制建设；</w:t>
      </w:r>
    </w:p>
    <w:p>
      <w:pPr>
        <w:widowControl w:val="0"/>
        <w:numPr>
          <w:ilvl w:val="0"/>
          <w:numId w:val="57"/>
        </w:numPr>
        <w:autoSpaceDN w:val="0"/>
        <w:adjustRightInd/>
        <w:spacing w:after="0" w:line="520" w:lineRule="exact"/>
        <w:ind w:left="0" w:firstLine="0"/>
        <w:jc w:val="both"/>
        <w:rPr>
          <w:rFonts w:ascii="宋体" w:hAnsi="宋体" w:eastAsia="宋体" w:cs="宋体"/>
          <w:color w:val="auto"/>
          <w:sz w:val="21"/>
          <w:szCs w:val="21"/>
        </w:rPr>
      </w:pPr>
      <w:r>
        <w:rPr>
          <w:rFonts w:hint="eastAsia" w:ascii="宋体" w:hAnsi="宋体" w:eastAsia="宋体" w:cs="宋体"/>
          <w:bCs/>
          <w:color w:val="auto"/>
          <w:kern w:val="2"/>
          <w:sz w:val="21"/>
          <w:szCs w:val="21"/>
        </w:rPr>
        <w:t>消防安全网格化排查实施；</w:t>
      </w:r>
    </w:p>
    <w:p>
      <w:pPr>
        <w:widowControl w:val="0"/>
        <w:numPr>
          <w:ilvl w:val="0"/>
          <w:numId w:val="57"/>
        </w:numPr>
        <w:autoSpaceDN w:val="0"/>
        <w:adjustRightInd/>
        <w:spacing w:after="0" w:line="520" w:lineRule="exact"/>
        <w:ind w:left="0" w:firstLine="0"/>
        <w:jc w:val="both"/>
        <w:rPr>
          <w:rFonts w:ascii="宋体" w:hAnsi="宋体" w:eastAsia="宋体" w:cs="宋体"/>
          <w:bCs/>
          <w:color w:val="auto"/>
          <w:kern w:val="2"/>
          <w:sz w:val="21"/>
          <w:szCs w:val="21"/>
        </w:rPr>
      </w:pPr>
      <w:r>
        <w:rPr>
          <w:rFonts w:hint="eastAsia" w:ascii="宋体" w:hAnsi="宋体" w:eastAsia="宋体" w:cs="宋体"/>
          <w:bCs/>
          <w:color w:val="auto"/>
          <w:kern w:val="2"/>
          <w:sz w:val="21"/>
          <w:szCs w:val="21"/>
        </w:rPr>
        <w:t>重点场所评估检测；</w:t>
      </w:r>
    </w:p>
    <w:p>
      <w:pPr>
        <w:widowControl w:val="0"/>
        <w:numPr>
          <w:ilvl w:val="0"/>
          <w:numId w:val="57"/>
        </w:numPr>
        <w:autoSpaceDN w:val="0"/>
        <w:adjustRightInd/>
        <w:spacing w:after="0" w:line="520" w:lineRule="exact"/>
        <w:ind w:left="0" w:firstLine="0"/>
        <w:jc w:val="both"/>
        <w:rPr>
          <w:rFonts w:ascii="宋体" w:hAnsi="宋体" w:eastAsia="宋体" w:cs="宋体"/>
          <w:bCs/>
          <w:color w:val="auto"/>
          <w:kern w:val="2"/>
          <w:sz w:val="21"/>
          <w:szCs w:val="21"/>
        </w:rPr>
      </w:pPr>
      <w:r>
        <w:rPr>
          <w:rFonts w:hint="eastAsia" w:ascii="宋体" w:hAnsi="宋体" w:eastAsia="宋体" w:cs="宋体"/>
          <w:bCs/>
          <w:color w:val="auto"/>
          <w:kern w:val="2"/>
          <w:sz w:val="21"/>
          <w:szCs w:val="21"/>
        </w:rPr>
        <w:t>物流仓储消防安全标准化管理调研；</w:t>
      </w:r>
    </w:p>
    <w:p>
      <w:pPr>
        <w:widowControl w:val="0"/>
        <w:numPr>
          <w:ilvl w:val="0"/>
          <w:numId w:val="57"/>
        </w:numPr>
        <w:autoSpaceDN w:val="0"/>
        <w:adjustRightInd/>
        <w:spacing w:after="0" w:line="520" w:lineRule="exact"/>
        <w:ind w:left="0" w:firstLine="0"/>
        <w:jc w:val="both"/>
        <w:rPr>
          <w:rFonts w:ascii="宋体" w:hAnsi="宋体" w:eastAsia="宋体" w:cs="宋体"/>
          <w:bCs/>
          <w:color w:val="auto"/>
          <w:kern w:val="2"/>
          <w:sz w:val="21"/>
          <w:szCs w:val="21"/>
        </w:rPr>
      </w:pPr>
      <w:r>
        <w:rPr>
          <w:rFonts w:hint="eastAsia" w:ascii="宋体" w:hAnsi="宋体" w:eastAsia="宋体" w:cs="宋体"/>
          <w:bCs/>
          <w:color w:val="auto"/>
          <w:kern w:val="2"/>
          <w:sz w:val="21"/>
          <w:szCs w:val="21"/>
        </w:rPr>
        <w:t>社区消防器材配置；</w:t>
      </w:r>
    </w:p>
    <w:p>
      <w:pPr>
        <w:widowControl w:val="0"/>
        <w:numPr>
          <w:ilvl w:val="0"/>
          <w:numId w:val="57"/>
        </w:numPr>
        <w:autoSpaceDN w:val="0"/>
        <w:adjustRightInd/>
        <w:spacing w:after="0" w:line="520" w:lineRule="exact"/>
        <w:ind w:left="0" w:firstLine="0"/>
        <w:jc w:val="both"/>
        <w:rPr>
          <w:rFonts w:ascii="宋体" w:hAnsi="宋体" w:eastAsia="宋体" w:cs="宋体"/>
          <w:bCs/>
          <w:color w:val="auto"/>
          <w:kern w:val="2"/>
          <w:sz w:val="21"/>
          <w:szCs w:val="21"/>
        </w:rPr>
      </w:pPr>
      <w:r>
        <w:rPr>
          <w:rFonts w:hint="eastAsia" w:ascii="宋体" w:hAnsi="宋体" w:eastAsia="宋体" w:cs="宋体"/>
          <w:bCs/>
          <w:color w:val="auto"/>
          <w:kern w:val="2"/>
          <w:sz w:val="21"/>
          <w:szCs w:val="21"/>
        </w:rPr>
        <w:t>试点现场会布置；</w:t>
      </w:r>
    </w:p>
    <w:p>
      <w:pPr>
        <w:widowControl w:val="0"/>
        <w:numPr>
          <w:ilvl w:val="0"/>
          <w:numId w:val="57"/>
        </w:numPr>
        <w:tabs>
          <w:tab w:val="left" w:pos="0"/>
        </w:tabs>
        <w:autoSpaceDN w:val="0"/>
        <w:adjustRightInd/>
        <w:spacing w:after="0" w:line="520" w:lineRule="exact"/>
        <w:ind w:left="0" w:firstLine="0"/>
        <w:jc w:val="both"/>
        <w:rPr>
          <w:rFonts w:ascii="宋体" w:hAnsi="宋体" w:eastAsia="宋体" w:cs="宋体"/>
          <w:color w:val="auto"/>
          <w:sz w:val="21"/>
          <w:szCs w:val="21"/>
        </w:rPr>
      </w:pPr>
      <w:r>
        <w:rPr>
          <w:rFonts w:hint="eastAsia" w:ascii="宋体" w:hAnsi="宋体" w:eastAsia="宋体" w:cs="宋体"/>
          <w:color w:val="auto"/>
          <w:sz w:val="21"/>
          <w:szCs w:val="21"/>
        </w:rPr>
        <w:t>响应供应商认为对投标有利的其他资料。</w:t>
      </w:r>
    </w:p>
    <w:p>
      <w:pPr>
        <w:widowControl w:val="0"/>
        <w:autoSpaceDE w:val="0"/>
        <w:autoSpaceDN w:val="0"/>
        <w:spacing w:after="0" w:line="400" w:lineRule="exact"/>
        <w:rPr>
          <w:rFonts w:ascii="宋体" w:hAnsi="宋体" w:eastAsia="宋体" w:cs="宋体"/>
          <w:color w:val="auto"/>
          <w:sz w:val="21"/>
          <w:szCs w:val="21"/>
        </w:rPr>
      </w:pPr>
    </w:p>
    <w:p>
      <w:pPr>
        <w:widowControl w:val="0"/>
        <w:autoSpaceDE w:val="0"/>
        <w:autoSpaceDN w:val="0"/>
        <w:spacing w:after="0" w:line="440" w:lineRule="exact"/>
        <w:rPr>
          <w:rFonts w:ascii="黑体" w:hAnsi="Times New Roman" w:eastAsia="黑体" w:cs="黑体"/>
          <w:bCs/>
          <w:color w:val="auto"/>
          <w:sz w:val="21"/>
          <w:szCs w:val="21"/>
        </w:rPr>
      </w:pPr>
    </w:p>
    <w:p>
      <w:pPr>
        <w:widowControl w:val="0"/>
        <w:autoSpaceDE w:val="0"/>
        <w:autoSpaceDN w:val="0"/>
        <w:spacing w:after="0" w:line="440" w:lineRule="exact"/>
        <w:rPr>
          <w:rFonts w:ascii="黑体" w:hAnsi="Times New Roman" w:eastAsia="黑体" w:cs="黑体"/>
          <w:bCs/>
          <w:color w:val="auto"/>
          <w:sz w:val="21"/>
          <w:szCs w:val="21"/>
        </w:rPr>
      </w:pPr>
    </w:p>
    <w:p>
      <w:pPr>
        <w:widowControl w:val="0"/>
        <w:autoSpaceDE w:val="0"/>
        <w:autoSpaceDN w:val="0"/>
        <w:spacing w:after="0" w:line="440" w:lineRule="exact"/>
        <w:rPr>
          <w:rFonts w:ascii="黑体" w:hAnsi="Times New Roman" w:eastAsia="黑体" w:cs="黑体"/>
          <w:bCs/>
          <w:color w:val="auto"/>
          <w:sz w:val="21"/>
          <w:szCs w:val="21"/>
        </w:rPr>
      </w:pPr>
    </w:p>
    <w:p>
      <w:pPr>
        <w:widowControl w:val="0"/>
        <w:autoSpaceDE w:val="0"/>
        <w:autoSpaceDN w:val="0"/>
        <w:spacing w:after="0" w:line="500" w:lineRule="exact"/>
        <w:ind w:firstLine="436" w:firstLineChars="200"/>
        <w:rPr>
          <w:rFonts w:ascii="宋体" w:hAnsi="宋体" w:eastAsia="宋体" w:cs="宋体"/>
          <w:color w:val="auto"/>
          <w:sz w:val="21"/>
          <w:szCs w:val="21"/>
          <w:u w:val="single"/>
        </w:rPr>
      </w:pPr>
      <w:r>
        <w:rPr>
          <w:rFonts w:hint="eastAsia" w:ascii="Times New Roman" w:hAnsi="Times New Roman" w:eastAsia="宋体" w:cs="宋体"/>
          <w:color w:val="auto"/>
          <w:spacing w:val="4"/>
          <w:sz w:val="21"/>
          <w:szCs w:val="21"/>
        </w:rPr>
        <w:t>响应供应商名称（盖公章）：</w:t>
      </w:r>
      <w:r>
        <w:rPr>
          <w:rFonts w:ascii="Times New Roman" w:hAnsi="Times New Roman" w:eastAsia="宋体" w:cs="Times New Roman"/>
          <w:color w:val="auto"/>
          <w:spacing w:val="4"/>
          <w:sz w:val="21"/>
          <w:szCs w:val="21"/>
          <w:u w:val="single"/>
        </w:rPr>
        <w:t xml:space="preserve">                             </w:t>
      </w:r>
    </w:p>
    <w:p>
      <w:pPr>
        <w:widowControl w:val="0"/>
        <w:autoSpaceDE w:val="0"/>
        <w:autoSpaceDN w:val="0"/>
        <w:spacing w:after="0" w:line="520" w:lineRule="exact"/>
        <w:ind w:firstLine="436" w:firstLineChars="200"/>
        <w:rPr>
          <w:color w:val="auto"/>
          <w:spacing w:val="4"/>
          <w:sz w:val="21"/>
          <w:szCs w:val="21"/>
        </w:rPr>
      </w:pPr>
      <w:r>
        <w:rPr>
          <w:rFonts w:hint="eastAsia" w:ascii="Times New Roman" w:hAnsi="Times New Roman" w:eastAsia="宋体" w:cs="宋体"/>
          <w:color w:val="auto"/>
          <w:spacing w:val="4"/>
          <w:sz w:val="21"/>
          <w:szCs w:val="21"/>
        </w:rPr>
        <w:t>日期</w:t>
      </w:r>
      <w:r>
        <w:rPr>
          <w:rFonts w:ascii="Times New Roman" w:hAnsi="Times New Roman" w:eastAsia="宋体" w:cs="Times New Roman"/>
          <w:color w:val="auto"/>
          <w:spacing w:val="4"/>
          <w:sz w:val="21"/>
          <w:szCs w:val="21"/>
          <w:u w:val="single"/>
        </w:rPr>
        <w:t xml:space="preserve">       </w:t>
      </w:r>
    </w:p>
    <w:bookmarkEnd w:id="90"/>
    <w:bookmarkEnd w:id="91"/>
    <w:bookmarkEnd w:id="92"/>
    <w:p>
      <w:pPr>
        <w:spacing w:line="360" w:lineRule="auto"/>
        <w:rPr>
          <w:rFonts w:ascii="Arial" w:hAnsi="Arial" w:eastAsia="黑体" w:cs="Times New Roman"/>
          <w:bCs/>
          <w:color w:val="auto"/>
          <w:sz w:val="21"/>
          <w:szCs w:val="21"/>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b w:val="0"/>
          <w:bCs/>
          <w:color w:val="auto"/>
        </w:rPr>
      </w:pPr>
      <w:bookmarkStart w:id="93" w:name="_Toc410738989"/>
      <w:bookmarkStart w:id="94" w:name="_Toc275865616"/>
      <w:bookmarkStart w:id="95" w:name="_Toc416771381"/>
      <w:bookmarkStart w:id="96" w:name="_Toc416770270"/>
      <w:bookmarkStart w:id="97" w:name="_Toc410736190"/>
      <w:bookmarkStart w:id="98" w:name="_Toc173553182"/>
      <w:bookmarkStart w:id="99" w:name="_Toc50691037"/>
      <w:bookmarkStart w:id="100" w:name="_Toc50703730"/>
      <w:bookmarkStart w:id="101" w:name="_Toc43264518"/>
      <w:r>
        <w:rPr>
          <w:rFonts w:hint="eastAsia" w:cs="黑体"/>
          <w:b w:val="0"/>
          <w:bCs/>
          <w:color w:val="auto"/>
        </w:rPr>
        <w:t>响应供应商基本情况表</w:t>
      </w:r>
      <w:bookmarkEnd w:id="93"/>
      <w:bookmarkEnd w:id="94"/>
      <w:bookmarkEnd w:id="95"/>
      <w:bookmarkEnd w:id="96"/>
      <w:bookmarkEnd w:id="97"/>
      <w:bookmarkEnd w:id="98"/>
    </w:p>
    <w:p>
      <w:pPr>
        <w:widowControl w:val="0"/>
        <w:numPr>
          <w:ilvl w:val="0"/>
          <w:numId w:val="58"/>
        </w:numPr>
        <w:autoSpaceDN w:val="0"/>
        <w:adjustRightInd/>
        <w:spacing w:after="0" w:line="360" w:lineRule="auto"/>
        <w:jc w:val="both"/>
        <w:rPr>
          <w:rFonts w:ascii="宋体" w:hAnsi="宋体" w:eastAsia="宋体" w:cs="Arial"/>
          <w:color w:val="auto"/>
        </w:rPr>
      </w:pPr>
      <w:r>
        <w:rPr>
          <w:rFonts w:hint="eastAsia" w:ascii="宋体" w:hAnsi="宋体" w:eastAsia="宋体" w:cs="Arial"/>
          <w:color w:val="auto"/>
          <w:sz w:val="21"/>
          <w:szCs w:val="21"/>
        </w:rPr>
        <w:t>公司基本情况</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公司名称：</w:t>
      </w:r>
      <w:r>
        <w:rPr>
          <w:rFonts w:hint="eastAsia" w:ascii="宋体" w:hAnsi="宋体" w:eastAsia="宋体" w:cs="Arial"/>
          <w:color w:val="auto"/>
          <w:sz w:val="21"/>
          <w:szCs w:val="21"/>
          <w:u w:val="single"/>
        </w:rPr>
        <w:t xml:space="preserve">                              </w:t>
      </w:r>
      <w:r>
        <w:rPr>
          <w:rFonts w:hint="eastAsia" w:ascii="宋体" w:hAnsi="宋体" w:eastAsia="宋体" w:cs="Arial"/>
          <w:color w:val="auto"/>
          <w:sz w:val="21"/>
          <w:szCs w:val="21"/>
        </w:rPr>
        <w:t xml:space="preserve">  电话号码：</w:t>
      </w:r>
      <w:r>
        <w:rPr>
          <w:rFonts w:hint="eastAsia" w:ascii="宋体" w:hAnsi="宋体" w:eastAsia="宋体" w:cs="Arial"/>
          <w:color w:val="auto"/>
          <w:sz w:val="21"/>
          <w:szCs w:val="21"/>
          <w:u w:val="single"/>
        </w:rPr>
        <w:t xml:space="preserve">          </w:t>
      </w:r>
      <w:r>
        <w:rPr>
          <w:rFonts w:hint="eastAsia" w:ascii="宋体" w:hAnsi="宋体" w:eastAsia="宋体" w:cs="Arial"/>
          <w:color w:val="auto"/>
          <w:sz w:val="21"/>
          <w:szCs w:val="21"/>
        </w:rPr>
        <w:t xml:space="preserve">                  </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地    址：</w:t>
      </w:r>
      <w:r>
        <w:rPr>
          <w:rFonts w:hint="eastAsia" w:ascii="宋体" w:hAnsi="宋体" w:eastAsia="宋体" w:cs="Arial"/>
          <w:color w:val="auto"/>
          <w:sz w:val="21"/>
          <w:szCs w:val="21"/>
          <w:u w:val="single"/>
        </w:rPr>
        <w:t xml:space="preserve">                              </w:t>
      </w:r>
      <w:r>
        <w:rPr>
          <w:rFonts w:hint="eastAsia" w:ascii="宋体" w:hAnsi="宋体" w:eastAsia="宋体" w:cs="Arial"/>
          <w:color w:val="auto"/>
          <w:sz w:val="21"/>
          <w:szCs w:val="21"/>
        </w:rPr>
        <w:t xml:space="preserve">  传    真：</w:t>
      </w:r>
      <w:r>
        <w:rPr>
          <w:rFonts w:hint="eastAsia" w:ascii="宋体" w:hAnsi="宋体" w:eastAsia="宋体" w:cs="Arial"/>
          <w:color w:val="auto"/>
          <w:sz w:val="21"/>
          <w:szCs w:val="21"/>
          <w:u w:val="single"/>
        </w:rPr>
        <w:t xml:space="preserve">           </w:t>
      </w:r>
      <w:r>
        <w:rPr>
          <w:rFonts w:hint="eastAsia" w:ascii="宋体" w:hAnsi="宋体" w:eastAsia="宋体" w:cs="Arial"/>
          <w:color w:val="auto"/>
          <w:sz w:val="21"/>
          <w:szCs w:val="21"/>
        </w:rPr>
        <w:t xml:space="preserve">                  </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u w:val="single"/>
        </w:rPr>
      </w:pPr>
      <w:r>
        <w:rPr>
          <w:rFonts w:hint="eastAsia" w:ascii="宋体" w:hAnsi="宋体" w:eastAsia="宋体" w:cs="Arial"/>
          <w:color w:val="auto"/>
          <w:sz w:val="21"/>
          <w:szCs w:val="21"/>
        </w:rPr>
        <w:t>注册资金：</w:t>
      </w:r>
      <w:r>
        <w:rPr>
          <w:rFonts w:hint="eastAsia" w:ascii="宋体" w:hAnsi="宋体" w:eastAsia="宋体" w:cs="Arial"/>
          <w:color w:val="auto"/>
          <w:sz w:val="21"/>
          <w:szCs w:val="21"/>
          <w:u w:val="single"/>
        </w:rPr>
        <w:t xml:space="preserve">                              </w:t>
      </w:r>
      <w:r>
        <w:rPr>
          <w:rFonts w:hint="eastAsia" w:ascii="宋体" w:hAnsi="宋体" w:eastAsia="宋体" w:cs="Arial"/>
          <w:color w:val="auto"/>
          <w:sz w:val="21"/>
          <w:szCs w:val="21"/>
        </w:rPr>
        <w:t xml:space="preserve">  经济性质：</w:t>
      </w:r>
      <w:r>
        <w:rPr>
          <w:rFonts w:hint="eastAsia" w:ascii="宋体" w:hAnsi="宋体" w:eastAsia="宋体" w:cs="Arial"/>
          <w:color w:val="auto"/>
          <w:sz w:val="21"/>
          <w:szCs w:val="21"/>
          <w:u w:val="single"/>
        </w:rPr>
        <w:t xml:space="preserve">          </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 xml:space="preserve">公司开户银行名称及账号：     </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 xml:space="preserve">营业注册执照号：   </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公司简介</w:t>
      </w:r>
    </w:p>
    <w:p>
      <w:pPr>
        <w:widowControl w:val="0"/>
        <w:autoSpaceDE w:val="0"/>
        <w:autoSpaceDN w:val="0"/>
        <w:spacing w:after="0" w:line="360" w:lineRule="auto"/>
        <w:ind w:left="360"/>
        <w:rPr>
          <w:rFonts w:ascii="宋体" w:hAnsi="宋体" w:eastAsia="宋体" w:cs="Arial"/>
          <w:color w:val="auto"/>
        </w:rPr>
      </w:pPr>
      <w:r>
        <w:rPr>
          <w:rFonts w:hint="eastAsia" w:ascii="宋体" w:hAnsi="宋体" w:eastAsia="宋体" w:cs="宋体"/>
          <w:color w:val="auto"/>
          <w:sz w:val="21"/>
          <w:szCs w:val="21"/>
        </w:rPr>
        <w:t>文字描述：</w:t>
      </w:r>
      <w:r>
        <w:rPr>
          <w:rFonts w:hint="eastAsia" w:ascii="宋体" w:hAnsi="宋体" w:eastAsia="宋体" w:cs="宋体"/>
          <w:bCs/>
          <w:color w:val="auto"/>
          <w:sz w:val="21"/>
          <w:szCs w:val="21"/>
        </w:rPr>
        <w:t>发展历程、经营规模及服务理念</w:t>
      </w:r>
      <w:r>
        <w:rPr>
          <w:rFonts w:hint="eastAsia" w:ascii="宋体" w:hAnsi="宋体" w:eastAsia="宋体" w:cs="宋体"/>
          <w:color w:val="auto"/>
          <w:sz w:val="21"/>
          <w:szCs w:val="21"/>
        </w:rPr>
        <w:t>、技术力量、财务状况、管理水平等方面进行阐述。</w:t>
      </w:r>
    </w:p>
    <w:p>
      <w:pPr>
        <w:widowControl w:val="0"/>
        <w:numPr>
          <w:ilvl w:val="1"/>
          <w:numId w:val="58"/>
        </w:numPr>
        <w:tabs>
          <w:tab w:val="left" w:pos="420"/>
        </w:tabs>
        <w:autoSpaceDN w:val="0"/>
        <w:adjustRightInd/>
        <w:spacing w:after="0" w:line="360" w:lineRule="auto"/>
        <w:ind w:left="420"/>
        <w:jc w:val="both"/>
        <w:rPr>
          <w:rFonts w:ascii="宋体" w:hAnsi="宋体" w:eastAsia="宋体" w:cs="Arial"/>
          <w:color w:val="auto"/>
        </w:rPr>
      </w:pPr>
      <w:r>
        <w:rPr>
          <w:rFonts w:hint="eastAsia" w:ascii="宋体" w:hAnsi="宋体" w:eastAsia="宋体" w:cs="Arial"/>
          <w:color w:val="auto"/>
          <w:sz w:val="21"/>
          <w:szCs w:val="21"/>
        </w:rPr>
        <w:t>股东及出资信息</w:t>
      </w:r>
    </w:p>
    <w:tbl>
      <w:tblPr>
        <w:tblStyle w:val="2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89"/>
        <w:gridCol w:w="2049"/>
        <w:gridCol w:w="1957"/>
        <w:gridCol w:w="1595"/>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trPr>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360" w:lineRule="auto"/>
              <w:jc w:val="center"/>
              <w:rPr>
                <w:rFonts w:ascii="宋体" w:hAnsi="宋体" w:eastAsia="宋体" w:cs="Arial"/>
                <w:b/>
                <w:bCs/>
                <w:color w:val="auto"/>
                <w:kern w:val="2"/>
              </w:rPr>
            </w:pPr>
            <w:r>
              <w:rPr>
                <w:rFonts w:hint="eastAsia" w:ascii="宋体" w:hAnsi="宋体" w:eastAsia="宋体" w:cs="Arial"/>
                <w:b/>
                <w:bCs/>
                <w:color w:val="auto"/>
                <w:kern w:val="2"/>
              </w:rPr>
              <w:t>序号</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276" w:lineRule="auto"/>
              <w:jc w:val="center"/>
              <w:rPr>
                <w:rFonts w:ascii="宋体" w:hAnsi="宋体" w:eastAsia="宋体" w:cs="Arial"/>
                <w:b/>
                <w:bCs/>
                <w:color w:val="auto"/>
                <w:kern w:val="2"/>
              </w:rPr>
            </w:pPr>
            <w:r>
              <w:rPr>
                <w:rFonts w:hint="eastAsia" w:ascii="宋体" w:hAnsi="宋体" w:eastAsia="宋体" w:cs="Arial"/>
                <w:b/>
                <w:bCs/>
                <w:color w:val="auto"/>
                <w:kern w:val="2"/>
                <w:sz w:val="21"/>
                <w:szCs w:val="21"/>
              </w:rPr>
              <w:t>名称</w:t>
            </w:r>
          </w:p>
          <w:p>
            <w:pPr>
              <w:widowControl w:val="0"/>
              <w:autoSpaceDE w:val="0"/>
              <w:autoSpaceDN w:val="0"/>
              <w:spacing w:after="0" w:line="276" w:lineRule="auto"/>
              <w:jc w:val="center"/>
              <w:rPr>
                <w:rFonts w:ascii="宋体" w:hAnsi="宋体" w:eastAsia="宋体" w:cs="Arial"/>
                <w:b/>
                <w:bCs/>
                <w:color w:val="auto"/>
                <w:kern w:val="2"/>
              </w:rPr>
            </w:pPr>
            <w:r>
              <w:rPr>
                <w:rFonts w:hint="eastAsia" w:ascii="宋体" w:hAnsi="宋体" w:eastAsia="宋体" w:cs="Arial"/>
                <w:b/>
                <w:bCs/>
                <w:color w:val="auto"/>
                <w:kern w:val="2"/>
              </w:rPr>
              <w:t>（姓名）</w:t>
            </w:r>
          </w:p>
        </w:tc>
        <w:tc>
          <w:tcPr>
            <w:tcW w:w="204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spacing w:beforeAutospacing="0" w:afterAutospacing="0" w:line="276" w:lineRule="auto"/>
              <w:jc w:val="center"/>
              <w:rPr>
                <w:rFonts w:hint="default" w:cs="Arial"/>
                <w:b/>
                <w:color w:val="auto"/>
                <w:kern w:val="2"/>
                <w:sz w:val="21"/>
                <w:szCs w:val="21"/>
              </w:rPr>
            </w:pPr>
            <w:r>
              <w:rPr>
                <w:rFonts w:cs="Arial"/>
                <w:b/>
                <w:color w:val="auto"/>
                <w:kern w:val="2"/>
                <w:sz w:val="21"/>
                <w:szCs w:val="21"/>
              </w:rPr>
              <w:t>统一社会信息用代码（身份证号）</w:t>
            </w:r>
          </w:p>
        </w:tc>
        <w:tc>
          <w:tcPr>
            <w:tcW w:w="195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spacing w:beforeAutospacing="0" w:afterAutospacing="0" w:line="276" w:lineRule="auto"/>
              <w:jc w:val="center"/>
              <w:rPr>
                <w:rFonts w:hint="default" w:cs="Arial"/>
                <w:b/>
                <w:color w:val="auto"/>
                <w:kern w:val="2"/>
                <w:sz w:val="21"/>
                <w:szCs w:val="21"/>
              </w:rPr>
            </w:pPr>
            <w:r>
              <w:rPr>
                <w:rFonts w:cs="Arial"/>
                <w:b/>
                <w:color w:val="auto"/>
                <w:kern w:val="2"/>
                <w:sz w:val="21"/>
                <w:szCs w:val="21"/>
              </w:rPr>
              <w:t>出资额</w:t>
            </w:r>
          </w:p>
          <w:p>
            <w:pPr>
              <w:pStyle w:val="18"/>
              <w:spacing w:beforeAutospacing="0" w:afterAutospacing="0" w:line="276" w:lineRule="auto"/>
              <w:jc w:val="center"/>
              <w:rPr>
                <w:rFonts w:hint="default" w:cs="Arial"/>
                <w:b/>
                <w:color w:val="auto"/>
                <w:kern w:val="2"/>
                <w:sz w:val="21"/>
                <w:szCs w:val="21"/>
              </w:rPr>
            </w:pPr>
            <w:r>
              <w:rPr>
                <w:rFonts w:cs="Arial"/>
                <w:b/>
                <w:color w:val="auto"/>
                <w:kern w:val="2"/>
                <w:sz w:val="21"/>
                <w:szCs w:val="21"/>
              </w:rPr>
              <w:t>（人民币  万元）</w:t>
            </w:r>
          </w:p>
        </w:tc>
        <w:tc>
          <w:tcPr>
            <w:tcW w:w="159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spacing w:beforeAutospacing="0" w:afterAutospacing="0" w:line="276" w:lineRule="auto"/>
              <w:jc w:val="center"/>
              <w:rPr>
                <w:rFonts w:hint="default" w:cs="Arial"/>
                <w:b/>
                <w:color w:val="auto"/>
                <w:kern w:val="2"/>
                <w:sz w:val="21"/>
                <w:szCs w:val="21"/>
              </w:rPr>
            </w:pPr>
            <w:r>
              <w:rPr>
                <w:rFonts w:cs="Arial"/>
                <w:b/>
                <w:color w:val="auto"/>
                <w:kern w:val="2"/>
                <w:sz w:val="21"/>
                <w:szCs w:val="21"/>
              </w:rPr>
              <w:t>出资方式</w:t>
            </w:r>
          </w:p>
        </w:tc>
        <w:tc>
          <w:tcPr>
            <w:tcW w:w="159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8"/>
              <w:spacing w:beforeAutospacing="0" w:afterAutospacing="0" w:line="276" w:lineRule="auto"/>
              <w:jc w:val="center"/>
              <w:rPr>
                <w:rFonts w:hint="default" w:cs="Arial"/>
                <w:b/>
                <w:color w:val="auto"/>
                <w:kern w:val="2"/>
                <w:sz w:val="21"/>
                <w:szCs w:val="21"/>
              </w:rPr>
            </w:pPr>
            <w:r>
              <w:rPr>
                <w:rFonts w:cs="Arial"/>
                <w:b/>
                <w:color w:val="auto"/>
                <w:kern w:val="2"/>
                <w:sz w:val="21"/>
                <w:szCs w:val="21"/>
              </w:rPr>
              <w:t>占全部股份比例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886"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r>
              <w:rPr>
                <w:rFonts w:hint="eastAsia" w:ascii="宋体" w:hAnsi="宋体" w:eastAsia="宋体" w:cs="Arial"/>
                <w:color w:val="auto"/>
                <w:kern w:val="2"/>
              </w:rPr>
              <w:t>1</w:t>
            </w:r>
          </w:p>
        </w:tc>
        <w:tc>
          <w:tcPr>
            <w:tcW w:w="148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04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957"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886"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r>
              <w:rPr>
                <w:rFonts w:hint="eastAsia" w:ascii="宋体" w:hAnsi="宋体" w:eastAsia="宋体" w:cs="Arial"/>
                <w:color w:val="auto"/>
                <w:kern w:val="2"/>
              </w:rPr>
              <w:t>2</w:t>
            </w:r>
          </w:p>
        </w:tc>
        <w:tc>
          <w:tcPr>
            <w:tcW w:w="148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04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957"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886"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r>
              <w:rPr>
                <w:rFonts w:hint="eastAsia" w:ascii="宋体" w:hAnsi="宋体" w:eastAsia="宋体" w:cs="Arial"/>
                <w:color w:val="auto"/>
                <w:kern w:val="2"/>
              </w:rPr>
              <w:t>…</w:t>
            </w:r>
          </w:p>
        </w:tc>
        <w:tc>
          <w:tcPr>
            <w:tcW w:w="148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049"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957"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159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r>
    </w:tbl>
    <w:p>
      <w:pPr>
        <w:widowControl w:val="0"/>
        <w:autoSpaceDE w:val="0"/>
        <w:autoSpaceDN w:val="0"/>
        <w:spacing w:after="0" w:line="360" w:lineRule="auto"/>
        <w:rPr>
          <w:rFonts w:ascii="宋体" w:hAnsi="宋体" w:eastAsia="宋体" w:cs="Arial"/>
          <w:color w:val="auto"/>
        </w:rPr>
      </w:pPr>
      <w:r>
        <w:rPr>
          <w:rFonts w:hint="eastAsia" w:ascii="宋体" w:hAnsi="宋体" w:eastAsia="宋体" w:cs="Arial"/>
          <w:color w:val="auto"/>
          <w:sz w:val="21"/>
          <w:szCs w:val="21"/>
        </w:rPr>
        <w:t>注：1. 主要股东或出资人为法人的，填写法人全称及统一社会信息用代码（尚未办理多证合一的填写组织机构代码）；为自然人的，填写自然人姓名和身份证号。</w:t>
      </w:r>
    </w:p>
    <w:p>
      <w:pPr>
        <w:widowControl w:val="0"/>
        <w:autoSpaceDE w:val="0"/>
        <w:autoSpaceDN w:val="0"/>
        <w:spacing w:after="0" w:line="360" w:lineRule="auto"/>
        <w:rPr>
          <w:rFonts w:ascii="宋体" w:hAnsi="宋体" w:eastAsia="宋体" w:cs="Arial"/>
          <w:color w:val="auto"/>
        </w:rPr>
      </w:pPr>
      <w:r>
        <w:rPr>
          <w:rFonts w:hint="eastAsia" w:ascii="宋体" w:hAnsi="宋体" w:eastAsia="宋体" w:cs="Arial"/>
          <w:color w:val="auto"/>
          <w:sz w:val="21"/>
          <w:szCs w:val="21"/>
        </w:rPr>
        <w:t>2. 出资方式填写：货币、实物、工艺产权和非专利技术、土地使用权等。</w:t>
      </w:r>
    </w:p>
    <w:p>
      <w:pPr>
        <w:widowControl w:val="0"/>
        <w:autoSpaceDE w:val="0"/>
        <w:autoSpaceDN w:val="0"/>
        <w:spacing w:after="0" w:line="360" w:lineRule="auto"/>
        <w:rPr>
          <w:rFonts w:ascii="宋体" w:hAnsi="宋体" w:eastAsia="宋体" w:cs="Arial"/>
          <w:color w:val="auto"/>
        </w:rPr>
      </w:pPr>
      <w:r>
        <w:rPr>
          <w:rFonts w:hint="eastAsia" w:ascii="宋体" w:hAnsi="宋体" w:eastAsia="宋体" w:cs="Arial"/>
          <w:color w:val="auto"/>
          <w:sz w:val="21"/>
          <w:szCs w:val="21"/>
        </w:rPr>
        <w:t>3. 响应供应商应按照占全部股份比例从大到小依次逐个股东填写，股东数量多于10个的，填写前10名，不足10个全部填写。同时响应供应商需附“国家企业信用信息公示系统”网页并加盖响应供应商单位公章。</w:t>
      </w:r>
    </w:p>
    <w:p>
      <w:pPr>
        <w:widowControl w:val="0"/>
        <w:numPr>
          <w:ilvl w:val="0"/>
          <w:numId w:val="58"/>
        </w:numPr>
        <w:autoSpaceDN w:val="0"/>
        <w:adjustRightInd/>
        <w:spacing w:after="0" w:line="360" w:lineRule="auto"/>
        <w:jc w:val="both"/>
        <w:rPr>
          <w:rFonts w:ascii="宋体" w:hAnsi="宋体" w:eastAsia="宋体" w:cs="Arial"/>
          <w:color w:val="auto"/>
        </w:rPr>
      </w:pPr>
      <w:r>
        <w:rPr>
          <w:rFonts w:hint="eastAsia" w:ascii="宋体" w:hAnsi="宋体" w:eastAsia="宋体" w:cs="Arial"/>
          <w:color w:val="auto"/>
          <w:sz w:val="21"/>
          <w:szCs w:val="21"/>
        </w:rPr>
        <w:t>响应供应商获得国家有关部门颁发的资质：</w:t>
      </w:r>
    </w:p>
    <w:tbl>
      <w:tblPr>
        <w:tblStyle w:val="21"/>
        <w:tblW w:w="98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5"/>
        <w:gridCol w:w="2465"/>
        <w:gridCol w:w="2465"/>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465" w:type="dxa"/>
            <w:tcBorders>
              <w:top w:val="single" w:color="auto" w:sz="12" w:space="0"/>
              <w:left w:val="single" w:color="auto" w:sz="12"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b/>
                <w:bCs/>
                <w:color w:val="auto"/>
                <w:kern w:val="2"/>
              </w:rPr>
            </w:pPr>
            <w:r>
              <w:rPr>
                <w:rFonts w:hint="eastAsia" w:ascii="宋体" w:hAnsi="宋体" w:eastAsia="宋体" w:cs="Arial"/>
                <w:b/>
                <w:bCs/>
                <w:color w:val="auto"/>
                <w:kern w:val="2"/>
              </w:rPr>
              <w:t xml:space="preserve">  证书名称</w:t>
            </w:r>
          </w:p>
        </w:tc>
        <w:tc>
          <w:tcPr>
            <w:tcW w:w="2465" w:type="dxa"/>
            <w:tcBorders>
              <w:top w:val="single" w:color="auto" w:sz="12"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b/>
                <w:bCs/>
                <w:color w:val="auto"/>
                <w:kern w:val="2"/>
              </w:rPr>
            </w:pPr>
            <w:r>
              <w:rPr>
                <w:rFonts w:hint="eastAsia" w:ascii="宋体" w:hAnsi="宋体" w:eastAsia="宋体" w:cs="Arial"/>
                <w:b/>
                <w:bCs/>
                <w:color w:val="auto"/>
                <w:kern w:val="2"/>
              </w:rPr>
              <w:t>发证单位</w:t>
            </w:r>
          </w:p>
        </w:tc>
        <w:tc>
          <w:tcPr>
            <w:tcW w:w="2465" w:type="dxa"/>
            <w:tcBorders>
              <w:top w:val="single" w:color="auto" w:sz="12"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b/>
                <w:bCs/>
                <w:color w:val="auto"/>
                <w:kern w:val="2"/>
              </w:rPr>
            </w:pPr>
            <w:r>
              <w:rPr>
                <w:rFonts w:hint="eastAsia" w:ascii="宋体" w:hAnsi="宋体" w:eastAsia="宋体" w:cs="Arial"/>
                <w:b/>
                <w:bCs/>
                <w:color w:val="auto"/>
                <w:kern w:val="2"/>
              </w:rPr>
              <w:t>证书等级</w:t>
            </w:r>
          </w:p>
        </w:tc>
        <w:tc>
          <w:tcPr>
            <w:tcW w:w="2466" w:type="dxa"/>
            <w:tcBorders>
              <w:top w:val="single" w:color="auto" w:sz="12" w:space="0"/>
              <w:left w:val="single" w:color="auto" w:sz="4" w:space="0"/>
              <w:bottom w:val="single" w:color="auto" w:sz="4" w:space="0"/>
              <w:right w:val="single" w:color="auto" w:sz="12" w:space="0"/>
            </w:tcBorders>
            <w:shd w:val="clear" w:color="auto" w:fill="auto"/>
          </w:tcPr>
          <w:p>
            <w:pPr>
              <w:widowControl w:val="0"/>
              <w:autoSpaceDE w:val="0"/>
              <w:autoSpaceDN w:val="0"/>
              <w:spacing w:after="0" w:line="360" w:lineRule="auto"/>
              <w:jc w:val="center"/>
              <w:rPr>
                <w:rFonts w:ascii="宋体" w:hAnsi="宋体" w:eastAsia="宋体" w:cs="Arial"/>
                <w:b/>
                <w:bCs/>
                <w:color w:val="auto"/>
                <w:kern w:val="2"/>
              </w:rPr>
            </w:pPr>
            <w:r>
              <w:rPr>
                <w:rFonts w:hint="eastAsia" w:ascii="宋体" w:hAnsi="宋体" w:eastAsia="宋体" w:cs="Arial"/>
                <w:b/>
                <w:bCs/>
                <w:color w:val="auto"/>
                <w:kern w:val="2"/>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5" w:type="dxa"/>
            <w:tcBorders>
              <w:top w:val="single" w:color="auto" w:sz="4" w:space="0"/>
              <w:left w:val="single" w:color="auto" w:sz="12"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5" w:type="dxa"/>
            <w:tcBorders>
              <w:top w:val="single" w:color="auto" w:sz="4" w:space="0"/>
              <w:left w:val="single" w:color="auto" w:sz="4" w:space="0"/>
              <w:bottom w:val="single" w:color="auto" w:sz="4"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6" w:type="dxa"/>
            <w:tcBorders>
              <w:top w:val="single" w:color="auto" w:sz="4" w:space="0"/>
              <w:left w:val="single" w:color="auto" w:sz="4" w:space="0"/>
              <w:bottom w:val="single" w:color="auto" w:sz="4" w:space="0"/>
              <w:right w:val="single" w:color="auto" w:sz="12"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5" w:type="dxa"/>
            <w:tcBorders>
              <w:top w:val="single" w:color="auto" w:sz="4" w:space="0"/>
              <w:left w:val="single" w:color="auto" w:sz="12" w:space="0"/>
              <w:bottom w:val="single" w:color="auto" w:sz="12"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5" w:type="dxa"/>
            <w:tcBorders>
              <w:top w:val="single" w:color="auto" w:sz="4" w:space="0"/>
              <w:left w:val="single" w:color="auto" w:sz="4" w:space="0"/>
              <w:bottom w:val="single" w:color="auto" w:sz="12"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5" w:type="dxa"/>
            <w:tcBorders>
              <w:top w:val="single" w:color="auto" w:sz="4" w:space="0"/>
              <w:left w:val="single" w:color="auto" w:sz="4" w:space="0"/>
              <w:bottom w:val="single" w:color="auto" w:sz="12" w:space="0"/>
              <w:right w:val="single" w:color="auto" w:sz="4"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c>
          <w:tcPr>
            <w:tcW w:w="2466" w:type="dxa"/>
            <w:tcBorders>
              <w:top w:val="single" w:color="auto" w:sz="4" w:space="0"/>
              <w:left w:val="single" w:color="auto" w:sz="4" w:space="0"/>
              <w:bottom w:val="single" w:color="auto" w:sz="12" w:space="0"/>
              <w:right w:val="single" w:color="auto" w:sz="12" w:space="0"/>
            </w:tcBorders>
            <w:shd w:val="clear" w:color="auto" w:fill="auto"/>
          </w:tcPr>
          <w:p>
            <w:pPr>
              <w:widowControl w:val="0"/>
              <w:autoSpaceDE w:val="0"/>
              <w:autoSpaceDN w:val="0"/>
              <w:spacing w:after="0" w:line="360" w:lineRule="auto"/>
              <w:jc w:val="center"/>
              <w:rPr>
                <w:rFonts w:ascii="宋体" w:hAnsi="宋体" w:eastAsia="宋体" w:cs="Arial"/>
                <w:color w:val="auto"/>
                <w:kern w:val="2"/>
              </w:rPr>
            </w:pPr>
          </w:p>
        </w:tc>
      </w:tr>
    </w:tbl>
    <w:p>
      <w:pPr>
        <w:widowControl w:val="0"/>
        <w:autoSpaceDE w:val="0"/>
        <w:autoSpaceDN w:val="0"/>
        <w:spacing w:after="0" w:line="360" w:lineRule="auto"/>
        <w:rPr>
          <w:rFonts w:ascii="宋体" w:hAnsi="宋体" w:eastAsia="宋体" w:cs="Arial"/>
          <w:color w:val="auto"/>
        </w:rPr>
      </w:pPr>
      <w:r>
        <w:rPr>
          <w:rFonts w:hint="eastAsia" w:ascii="宋体" w:hAnsi="宋体" w:eastAsia="宋体" w:cs="Arial"/>
          <w:color w:val="auto"/>
          <w:sz w:val="21"/>
          <w:szCs w:val="21"/>
        </w:rPr>
        <w:t xml:space="preserve">                                                                                                </w:t>
      </w:r>
    </w:p>
    <w:p>
      <w:pPr>
        <w:widowControl w:val="0"/>
        <w:autoSpaceDE w:val="0"/>
        <w:autoSpaceDN w:val="0"/>
        <w:spacing w:after="0" w:line="360" w:lineRule="auto"/>
        <w:ind w:firstLine="447" w:firstLineChars="213"/>
        <w:rPr>
          <w:rFonts w:ascii="宋体" w:hAnsi="宋体" w:eastAsia="宋体" w:cs="Arial"/>
          <w:color w:val="auto"/>
        </w:rPr>
      </w:pPr>
      <w:r>
        <w:rPr>
          <w:rFonts w:hint="eastAsia" w:ascii="宋体" w:hAnsi="宋体" w:eastAsia="宋体" w:cs="Arial"/>
          <w:color w:val="auto"/>
          <w:sz w:val="21"/>
          <w:szCs w:val="21"/>
        </w:rPr>
        <w:t>我/我们声明以上所述是正确无误的，您有权进行您认为必要的所有调查，</w:t>
      </w:r>
      <w:r>
        <w:rPr>
          <w:rFonts w:hint="eastAsia" w:ascii="Times New Roman" w:hAnsi="宋体" w:eastAsia="宋体" w:cs="宋体"/>
          <w:color w:val="auto"/>
          <w:sz w:val="21"/>
          <w:szCs w:val="21"/>
        </w:rPr>
        <w:t>如以上数据有虚假，一经查实，自行承担相关责任。</w:t>
      </w:r>
      <w:bookmarkStart w:id="102" w:name="_Toc43264525"/>
    </w:p>
    <w:p>
      <w:pPr>
        <w:widowControl w:val="0"/>
        <w:autoSpaceDE w:val="0"/>
        <w:autoSpaceDN w:val="0"/>
        <w:spacing w:after="0" w:line="500" w:lineRule="exact"/>
        <w:ind w:firstLine="440" w:firstLineChars="200"/>
        <w:rPr>
          <w:rFonts w:ascii="宋体" w:hAnsi="宋体" w:eastAsia="宋体" w:cs="Arial"/>
          <w:color w:val="auto"/>
        </w:rPr>
      </w:pPr>
    </w:p>
    <w:p>
      <w:pPr>
        <w:widowControl w:val="0"/>
        <w:autoSpaceDE w:val="0"/>
        <w:autoSpaceDN w:val="0"/>
        <w:spacing w:after="0" w:line="500" w:lineRule="exact"/>
        <w:ind w:left="1"/>
        <w:rPr>
          <w:rFonts w:ascii="宋体" w:hAnsi="宋体" w:eastAsia="宋体" w:cs="宋体"/>
          <w:color w:val="auto"/>
          <w:u w:val="single"/>
        </w:rPr>
      </w:pPr>
      <w:r>
        <w:rPr>
          <w:rFonts w:hint="eastAsia" w:ascii="Times New Roman" w:hAnsi="Times New Roman" w:eastAsia="宋体" w:cs="宋体"/>
          <w:color w:val="auto"/>
          <w:spacing w:val="4"/>
          <w:sz w:val="21"/>
          <w:szCs w:val="21"/>
        </w:rPr>
        <w:t>响应供应商名称（盖公章）：</w:t>
      </w:r>
      <w:r>
        <w:rPr>
          <w:rFonts w:ascii="Times New Roman" w:hAnsi="Times New Roman" w:eastAsia="宋体" w:cs="Times New Roman"/>
          <w:color w:val="auto"/>
          <w:spacing w:val="4"/>
          <w:sz w:val="21"/>
          <w:szCs w:val="21"/>
          <w:u w:val="single"/>
        </w:rPr>
        <w:t xml:space="preserve">                             </w:t>
      </w:r>
    </w:p>
    <w:p>
      <w:pPr>
        <w:widowControl w:val="0"/>
        <w:autoSpaceDE w:val="0"/>
        <w:autoSpaceDN w:val="0"/>
        <w:spacing w:after="0" w:line="520" w:lineRule="exact"/>
        <w:ind w:left="-6"/>
        <w:rPr>
          <w:color w:val="auto"/>
          <w:spacing w:val="4"/>
          <w:u w:val="single"/>
        </w:rPr>
      </w:pPr>
      <w:r>
        <w:rPr>
          <w:rFonts w:hint="eastAsia" w:ascii="Times New Roman" w:hAnsi="Times New Roman" w:eastAsia="宋体" w:cs="宋体"/>
          <w:color w:val="auto"/>
          <w:spacing w:val="4"/>
          <w:sz w:val="21"/>
          <w:szCs w:val="21"/>
        </w:rPr>
        <w:t>日期：</w:t>
      </w:r>
      <w:r>
        <w:rPr>
          <w:rFonts w:ascii="Times New Roman" w:hAnsi="Times New Roman" w:eastAsia="宋体" w:cs="Times New Roman"/>
          <w:color w:val="auto"/>
          <w:spacing w:val="4"/>
          <w:sz w:val="21"/>
          <w:szCs w:val="21"/>
          <w:u w:val="single"/>
        </w:rPr>
        <w:t xml:space="preserve">         </w:t>
      </w:r>
    </w:p>
    <w:p>
      <w:pPr>
        <w:pStyle w:val="2"/>
        <w:widowControl/>
        <w:adjustRightInd w:val="0"/>
        <w:spacing w:beforeLines="50" w:afterLines="50" w:line="360" w:lineRule="auto"/>
        <w:jc w:val="center"/>
        <w:rPr>
          <w:b w:val="0"/>
          <w:bCs/>
          <w:color w:val="auto"/>
        </w:rPr>
      </w:pPr>
      <w:bookmarkStart w:id="103" w:name="_Toc410738990"/>
      <w:bookmarkStart w:id="104" w:name="_Toc50736481"/>
      <w:bookmarkStart w:id="105" w:name="_Toc50737333"/>
      <w:bookmarkStart w:id="106" w:name="_Toc50737301"/>
      <w:bookmarkStart w:id="107" w:name="_Toc416771382"/>
      <w:bookmarkStart w:id="108" w:name="_Toc410736191"/>
      <w:bookmarkStart w:id="109" w:name="_Toc416770271"/>
      <w:bookmarkStart w:id="110" w:name="_Toc50691044"/>
      <w:bookmarkStart w:id="111" w:name="_Toc52165085"/>
      <w:bookmarkStart w:id="112" w:name="_Toc275865617"/>
      <w:r>
        <w:rPr>
          <w:rFonts w:hint="eastAsia" w:cs="黑体"/>
          <w:b w:val="0"/>
          <w:bCs/>
          <w:color w:val="auto"/>
        </w:rPr>
        <w:t>同类项目情况一览表</w:t>
      </w:r>
      <w:bookmarkEnd w:id="102"/>
      <w:bookmarkEnd w:id="103"/>
      <w:bookmarkEnd w:id="104"/>
      <w:bookmarkEnd w:id="105"/>
      <w:bookmarkEnd w:id="106"/>
      <w:bookmarkEnd w:id="107"/>
      <w:bookmarkEnd w:id="108"/>
      <w:bookmarkEnd w:id="109"/>
      <w:bookmarkEnd w:id="110"/>
      <w:bookmarkEnd w:id="111"/>
      <w:bookmarkEnd w:id="112"/>
    </w:p>
    <w:p>
      <w:pPr>
        <w:widowControl w:val="0"/>
        <w:autoSpaceDE w:val="0"/>
        <w:autoSpaceDN w:val="0"/>
        <w:spacing w:after="0" w:line="400" w:lineRule="exact"/>
        <w:rPr>
          <w:rFonts w:ascii="宋体" w:hAnsi="宋体" w:eastAsia="宋体" w:cs="宋体"/>
          <w:color w:val="auto"/>
          <w:u w:val="single"/>
        </w:rPr>
      </w:pPr>
      <w:r>
        <w:rPr>
          <w:rFonts w:hint="eastAsia" w:ascii="宋体" w:hAnsi="宋体" w:eastAsia="宋体" w:cs="宋体"/>
          <w:color w:val="auto"/>
          <w:sz w:val="21"/>
          <w:szCs w:val="21"/>
        </w:rPr>
        <w:t>响应供应商名称：                                        项目编号：GZGX20GZ00ZC-33</w:t>
      </w:r>
    </w:p>
    <w:tbl>
      <w:tblPr>
        <w:tblStyle w:val="21"/>
        <w:tblW w:w="922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124"/>
        <w:gridCol w:w="1372"/>
        <w:gridCol w:w="1690"/>
        <w:gridCol w:w="1096"/>
        <w:gridCol w:w="1637"/>
        <w:gridCol w:w="18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468" w:type="dxa"/>
            <w:tcBorders>
              <w:top w:val="single" w:color="auto" w:sz="12" w:space="0"/>
              <w:left w:val="single" w:color="auto" w:sz="12" w:space="0"/>
              <w:bottom w:val="double" w:color="auto" w:sz="4" w:space="0"/>
              <w:right w:val="single" w:color="auto" w:sz="4" w:space="0"/>
            </w:tcBorders>
            <w:shd w:val="clear" w:color="auto" w:fill="EEECE1"/>
            <w:vAlign w:val="center"/>
          </w:tcPr>
          <w:p>
            <w:pPr>
              <w:widowControl w:val="0"/>
              <w:autoSpaceDE w:val="0"/>
              <w:autoSpaceDN w:val="0"/>
              <w:spacing w:after="0"/>
              <w:ind w:left="-117" w:leftChars="-53" w:right="-117" w:rightChars="-53"/>
              <w:jc w:val="center"/>
              <w:rPr>
                <w:rFonts w:ascii="宋体" w:hAnsi="宋体" w:eastAsia="宋体" w:cs="宋体"/>
                <w:color w:val="auto"/>
                <w:kern w:val="2"/>
              </w:rPr>
            </w:pPr>
            <w:r>
              <w:rPr>
                <w:rFonts w:hint="eastAsia" w:ascii="宋体" w:hAnsi="宋体" w:eastAsia="宋体" w:cs="宋体"/>
                <w:color w:val="auto"/>
                <w:kern w:val="2"/>
              </w:rPr>
              <w:t>序号</w:t>
            </w:r>
          </w:p>
        </w:tc>
        <w:tc>
          <w:tcPr>
            <w:tcW w:w="1124"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业主名称</w:t>
            </w:r>
          </w:p>
        </w:tc>
        <w:tc>
          <w:tcPr>
            <w:tcW w:w="1372"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项目名称</w:t>
            </w:r>
          </w:p>
        </w:tc>
        <w:tc>
          <w:tcPr>
            <w:tcW w:w="1690"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服务内容</w:t>
            </w:r>
          </w:p>
        </w:tc>
        <w:tc>
          <w:tcPr>
            <w:tcW w:w="1096"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合同总价</w:t>
            </w:r>
          </w:p>
        </w:tc>
        <w:tc>
          <w:tcPr>
            <w:tcW w:w="1637"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ind w:left="-112" w:leftChars="-51" w:right="-112" w:rightChars="-51"/>
              <w:jc w:val="center"/>
              <w:rPr>
                <w:rFonts w:ascii="宋体" w:hAnsi="宋体" w:eastAsia="宋体" w:cs="宋体"/>
                <w:color w:val="auto"/>
                <w:kern w:val="2"/>
              </w:rPr>
            </w:pPr>
            <w:r>
              <w:rPr>
                <w:rFonts w:hint="eastAsia" w:ascii="宋体" w:hAnsi="宋体" w:eastAsia="宋体" w:cs="宋体"/>
                <w:color w:val="auto"/>
                <w:kern w:val="2"/>
              </w:rPr>
              <w:t>签约或完成时间</w:t>
            </w:r>
          </w:p>
        </w:tc>
        <w:tc>
          <w:tcPr>
            <w:tcW w:w="1834" w:type="dxa"/>
            <w:tcBorders>
              <w:top w:val="single" w:color="auto" w:sz="12" w:space="0"/>
              <w:left w:val="single" w:color="auto" w:sz="4" w:space="0"/>
              <w:bottom w:val="double" w:color="auto" w:sz="4" w:space="0"/>
              <w:right w:val="single" w:color="auto" w:sz="12" w:space="0"/>
            </w:tcBorders>
            <w:shd w:val="clear" w:color="auto" w:fill="EEECE1"/>
            <w:vAlign w:val="center"/>
          </w:tcPr>
          <w:p>
            <w:pPr>
              <w:widowControl w:val="0"/>
              <w:autoSpaceDE w:val="0"/>
              <w:autoSpaceDN w:val="0"/>
              <w:spacing w:after="0"/>
              <w:ind w:left="-112" w:leftChars="-51" w:right="-112" w:rightChars="-51"/>
              <w:jc w:val="center"/>
              <w:rPr>
                <w:rFonts w:ascii="宋体" w:hAnsi="宋体" w:eastAsia="宋体" w:cs="宋体"/>
                <w:color w:val="auto"/>
                <w:kern w:val="2"/>
              </w:rPr>
            </w:pPr>
            <w:r>
              <w:rPr>
                <w:rFonts w:hint="eastAsia" w:ascii="宋体" w:hAnsi="宋体" w:eastAsia="宋体" w:cs="宋体"/>
                <w:color w:val="auto"/>
                <w:kern w:val="2"/>
              </w:rPr>
              <w:t>单位联系人及电话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468" w:type="dxa"/>
            <w:tcBorders>
              <w:top w:val="doub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rPr>
              <w:t>1</w:t>
            </w:r>
          </w:p>
        </w:tc>
        <w:tc>
          <w:tcPr>
            <w:tcW w:w="1124"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2"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90"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96"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37"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34" w:type="dxa"/>
            <w:tcBorders>
              <w:top w:val="doub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468"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rPr>
              <w:t>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34"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468"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rPr>
              <w:t>3</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34"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468"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rPr>
              <w:t>4</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34"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468" w:type="dxa"/>
            <w:tcBorders>
              <w:top w:val="single" w:color="auto" w:sz="4" w:space="0"/>
              <w:left w:val="single" w:color="auto" w:sz="12"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r>
              <w:rPr>
                <w:rFonts w:hint="eastAsia" w:ascii="宋体" w:hAnsi="宋体" w:eastAsia="宋体" w:cs="宋体"/>
                <w:color w:val="auto"/>
                <w:kern w:val="2"/>
              </w:rPr>
              <w:t>5</w:t>
            </w:r>
          </w:p>
        </w:tc>
        <w:tc>
          <w:tcPr>
            <w:tcW w:w="1124"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2"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90"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96"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637"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834" w:type="dxa"/>
            <w:tcBorders>
              <w:top w:val="single" w:color="auto" w:sz="4" w:space="0"/>
              <w:left w:val="single" w:color="auto" w:sz="4" w:space="0"/>
              <w:bottom w:val="single" w:color="auto" w:sz="12"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bl>
    <w:p>
      <w:pPr>
        <w:widowControl w:val="0"/>
        <w:autoSpaceDE w:val="0"/>
        <w:autoSpaceDN w:val="0"/>
        <w:spacing w:after="0" w:line="360" w:lineRule="auto"/>
        <w:ind w:left="609" w:leftChars="-14" w:hanging="640" w:hangingChars="305"/>
        <w:rPr>
          <w:rFonts w:ascii="Times New Roman" w:hAnsi="Times New Roman" w:eastAsia="宋体" w:cs="宋体"/>
          <w:bCs/>
          <w:color w:val="auto"/>
          <w:sz w:val="21"/>
          <w:szCs w:val="21"/>
        </w:rPr>
      </w:pPr>
      <w:r>
        <w:rPr>
          <w:rFonts w:hint="eastAsia" w:ascii="Times New Roman" w:hAnsi="Times New Roman" w:eastAsia="宋体" w:cs="宋体"/>
          <w:bCs/>
          <w:color w:val="auto"/>
          <w:sz w:val="21"/>
          <w:szCs w:val="21"/>
        </w:rPr>
        <w:t>备注：提供合同关键页（含签订合同双方的单位名称、合同项目名称、项目金额与含签订合同双方</w:t>
      </w:r>
    </w:p>
    <w:p>
      <w:pPr>
        <w:widowControl w:val="0"/>
        <w:autoSpaceDE w:val="0"/>
        <w:autoSpaceDN w:val="0"/>
        <w:spacing w:after="0" w:line="360" w:lineRule="auto"/>
        <w:ind w:left="609" w:leftChars="-14" w:hanging="640" w:hangingChars="305"/>
        <w:rPr>
          <w:rFonts w:ascii="宋体" w:hAnsi="宋体" w:eastAsia="宋体" w:cs="宋体"/>
          <w:color w:val="auto"/>
        </w:rPr>
      </w:pPr>
      <w:r>
        <w:rPr>
          <w:rFonts w:hint="eastAsia" w:ascii="Times New Roman" w:hAnsi="Times New Roman" w:eastAsia="宋体" w:cs="宋体"/>
          <w:bCs/>
          <w:color w:val="auto"/>
          <w:sz w:val="21"/>
          <w:szCs w:val="21"/>
        </w:rPr>
        <w:t>的落款盖章、签订日期的关键页）复印件</w:t>
      </w:r>
      <w:r>
        <w:rPr>
          <w:rFonts w:hint="eastAsia" w:ascii="宋体" w:hAnsi="宋体" w:eastAsia="宋体" w:cs="宋体"/>
          <w:color w:val="auto"/>
          <w:sz w:val="21"/>
          <w:szCs w:val="21"/>
        </w:rPr>
        <w:t>。</w:t>
      </w:r>
    </w:p>
    <w:p>
      <w:pPr>
        <w:widowControl w:val="0"/>
        <w:autoSpaceDE w:val="0"/>
        <w:autoSpaceDN w:val="0"/>
        <w:spacing w:after="0" w:line="500" w:lineRule="exact"/>
        <w:rPr>
          <w:rFonts w:ascii="宋体" w:hAnsi="宋体" w:eastAsia="宋体" w:cs="宋体"/>
          <w:color w:val="auto"/>
        </w:rPr>
      </w:pPr>
    </w:p>
    <w:p>
      <w:pPr>
        <w:widowControl w:val="0"/>
        <w:autoSpaceDE w:val="0"/>
        <w:autoSpaceDN w:val="0"/>
        <w:spacing w:after="0" w:line="500" w:lineRule="exact"/>
        <w:rPr>
          <w:rFonts w:ascii="宋体" w:hAnsi="宋体" w:eastAsia="宋体" w:cs="宋体"/>
          <w:color w:val="auto"/>
          <w:u w:val="single"/>
        </w:rPr>
      </w:pPr>
      <w:r>
        <w:rPr>
          <w:rFonts w:hint="eastAsia" w:ascii="宋体" w:hAnsi="宋体" w:eastAsia="宋体" w:cs="宋体"/>
          <w:color w:val="auto"/>
          <w:spacing w:val="4"/>
          <w:sz w:val="21"/>
          <w:szCs w:val="21"/>
        </w:rPr>
        <w:t>响应供应商名称（盖公章）：</w:t>
      </w:r>
      <w:r>
        <w:rPr>
          <w:rFonts w:hint="eastAsia" w:ascii="宋体" w:hAnsi="宋体" w:eastAsia="宋体" w:cs="宋体"/>
          <w:color w:val="auto"/>
          <w:spacing w:val="4"/>
          <w:sz w:val="21"/>
          <w:szCs w:val="21"/>
          <w:u w:val="single"/>
        </w:rPr>
        <w:t xml:space="preserve">                             </w:t>
      </w:r>
    </w:p>
    <w:p>
      <w:pPr>
        <w:widowControl w:val="0"/>
        <w:autoSpaceDE w:val="0"/>
        <w:autoSpaceDN w:val="0"/>
        <w:spacing w:after="0" w:line="520" w:lineRule="exact"/>
        <w:rPr>
          <w:rFonts w:ascii="宋体" w:hAnsi="宋体" w:eastAsia="宋体" w:cs="宋体"/>
          <w:color w:val="auto"/>
          <w:spacing w:val="4"/>
        </w:rPr>
      </w:pPr>
      <w:r>
        <w:rPr>
          <w:rFonts w:hint="eastAsia" w:ascii="宋体" w:hAnsi="宋体" w:eastAsia="宋体" w:cs="宋体"/>
          <w:color w:val="auto"/>
          <w:spacing w:val="4"/>
          <w:sz w:val="21"/>
          <w:szCs w:val="21"/>
        </w:rPr>
        <w:t>日期：</w:t>
      </w:r>
      <w:r>
        <w:rPr>
          <w:rFonts w:hint="eastAsia" w:ascii="宋体" w:hAnsi="宋体" w:eastAsia="宋体" w:cs="宋体"/>
          <w:color w:val="auto"/>
          <w:spacing w:val="4"/>
          <w:sz w:val="21"/>
          <w:szCs w:val="21"/>
          <w:u w:val="single"/>
        </w:rPr>
        <w:t xml:space="preserve">         </w:t>
      </w:r>
    </w:p>
    <w:bookmarkEnd w:id="99"/>
    <w:bookmarkEnd w:id="100"/>
    <w:p>
      <w:pPr>
        <w:widowControl w:val="0"/>
        <w:autoSpaceDN w:val="0"/>
        <w:adjustRightInd/>
        <w:spacing w:after="0" w:line="440" w:lineRule="exact"/>
        <w:ind w:left="360"/>
        <w:jc w:val="both"/>
        <w:rPr>
          <w:rFonts w:hAnsi="宋体"/>
          <w:bCs/>
          <w:color w:val="auto"/>
        </w:rPr>
      </w:pPr>
    </w:p>
    <w:p>
      <w:pPr>
        <w:spacing w:line="360" w:lineRule="auto"/>
        <w:rPr>
          <w:rFonts w:ascii="Arial" w:hAnsi="Arial" w:eastAsia="黑体" w:cs="Times New Roman"/>
          <w:bCs/>
          <w:color w:val="auto"/>
          <w:sz w:val="32"/>
          <w:szCs w:val="32"/>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b w:val="0"/>
          <w:bCs/>
          <w:color w:val="auto"/>
        </w:rPr>
      </w:pPr>
      <w:bookmarkStart w:id="113" w:name="_Toc410738991"/>
      <w:bookmarkStart w:id="114" w:name="_Toc416770272"/>
      <w:bookmarkStart w:id="115" w:name="_Toc52165084"/>
      <w:bookmarkStart w:id="116" w:name="_Toc50736480"/>
      <w:bookmarkStart w:id="117" w:name="_Toc50737332"/>
      <w:bookmarkStart w:id="118" w:name="_Toc410736192"/>
      <w:bookmarkStart w:id="119" w:name="_Toc275865618"/>
      <w:bookmarkStart w:id="120" w:name="_Toc50691042"/>
      <w:bookmarkStart w:id="121" w:name="_Toc50737300"/>
      <w:bookmarkStart w:id="122" w:name="_Toc416771383"/>
      <w:r>
        <w:rPr>
          <w:rFonts w:hint="eastAsia" w:cs="黑体"/>
          <w:b w:val="0"/>
          <w:bCs/>
          <w:color w:val="auto"/>
        </w:rPr>
        <w:t>投入本项目的服务团队情况一览表</w:t>
      </w:r>
      <w:bookmarkEnd w:id="113"/>
      <w:bookmarkEnd w:id="114"/>
      <w:bookmarkEnd w:id="115"/>
      <w:bookmarkEnd w:id="116"/>
      <w:bookmarkEnd w:id="117"/>
      <w:bookmarkEnd w:id="118"/>
      <w:bookmarkEnd w:id="119"/>
      <w:bookmarkEnd w:id="120"/>
      <w:bookmarkEnd w:id="121"/>
      <w:bookmarkEnd w:id="122"/>
    </w:p>
    <w:p>
      <w:pPr>
        <w:widowControl w:val="0"/>
        <w:autoSpaceDE w:val="0"/>
        <w:autoSpaceDN w:val="0"/>
        <w:spacing w:after="0" w:line="400" w:lineRule="exact"/>
        <w:rPr>
          <w:rFonts w:ascii="宋体" w:hAnsi="宋体" w:eastAsia="宋体" w:cs="宋体"/>
          <w:color w:val="auto"/>
          <w:u w:val="single"/>
        </w:rPr>
      </w:pPr>
      <w:r>
        <w:rPr>
          <w:rFonts w:hint="eastAsia" w:ascii="宋体" w:hAnsi="宋体" w:eastAsia="宋体" w:cs="宋体"/>
          <w:color w:val="auto"/>
          <w:sz w:val="21"/>
          <w:szCs w:val="21"/>
        </w:rPr>
        <w:t>响应供应商名称：                                             项目编号：GZGX20GZ00ZC-33</w:t>
      </w:r>
    </w:p>
    <w:tbl>
      <w:tblPr>
        <w:tblStyle w:val="21"/>
        <w:tblW w:w="925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9"/>
        <w:gridCol w:w="1376"/>
        <w:gridCol w:w="733"/>
        <w:gridCol w:w="728"/>
        <w:gridCol w:w="813"/>
        <w:gridCol w:w="1067"/>
        <w:gridCol w:w="1237"/>
        <w:gridCol w:w="1051"/>
        <w:gridCol w:w="17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539" w:type="dxa"/>
            <w:tcBorders>
              <w:top w:val="single" w:color="auto" w:sz="12" w:space="0"/>
              <w:left w:val="single" w:color="auto" w:sz="12" w:space="0"/>
              <w:bottom w:val="double" w:color="auto" w:sz="4" w:space="0"/>
              <w:right w:val="single" w:color="auto" w:sz="4" w:space="0"/>
            </w:tcBorders>
            <w:shd w:val="clear" w:color="auto" w:fill="EEECE1"/>
            <w:vAlign w:val="center"/>
          </w:tcPr>
          <w:p>
            <w:pPr>
              <w:widowControl w:val="0"/>
              <w:autoSpaceDE w:val="0"/>
              <w:autoSpaceDN w:val="0"/>
              <w:spacing w:after="0"/>
              <w:ind w:left="-121" w:leftChars="-55" w:right="-125" w:rightChars="-57"/>
              <w:jc w:val="center"/>
              <w:rPr>
                <w:rFonts w:ascii="宋体" w:hAnsi="宋体" w:eastAsia="宋体" w:cs="宋体"/>
                <w:color w:val="auto"/>
                <w:kern w:val="2"/>
              </w:rPr>
            </w:pPr>
            <w:r>
              <w:rPr>
                <w:rFonts w:hint="eastAsia" w:ascii="宋体" w:hAnsi="宋体" w:eastAsia="宋体" w:cs="宋体"/>
                <w:color w:val="auto"/>
                <w:kern w:val="2"/>
              </w:rPr>
              <w:t>序号</w:t>
            </w:r>
          </w:p>
        </w:tc>
        <w:tc>
          <w:tcPr>
            <w:tcW w:w="1376" w:type="dxa"/>
            <w:tcBorders>
              <w:top w:val="single" w:color="auto" w:sz="12" w:space="0"/>
              <w:left w:val="single" w:color="auto" w:sz="4" w:space="0"/>
              <w:bottom w:val="double" w:color="auto" w:sz="4" w:space="0"/>
              <w:right w:val="single" w:color="auto" w:sz="4" w:space="0"/>
            </w:tcBorders>
            <w:shd w:val="clear" w:color="auto" w:fill="EEECE1"/>
            <w:vAlign w:val="center"/>
          </w:tcPr>
          <w:p>
            <w:pPr>
              <w:pStyle w:val="56"/>
              <w:keepNext w:val="0"/>
              <w:widowControl/>
              <w:spacing w:before="0" w:after="0" w:line="240" w:lineRule="auto"/>
              <w:rPr>
                <w:rFonts w:ascii="宋体" w:hAnsi="宋体" w:cs="宋体"/>
                <w:color w:val="auto"/>
                <w:spacing w:val="0"/>
                <w:kern w:val="2"/>
                <w:sz w:val="21"/>
              </w:rPr>
            </w:pPr>
            <w:r>
              <w:rPr>
                <w:rFonts w:hint="eastAsia" w:ascii="宋体" w:hAnsi="宋体" w:cs="宋体"/>
                <w:color w:val="auto"/>
                <w:spacing w:val="0"/>
                <w:kern w:val="2"/>
                <w:sz w:val="21"/>
              </w:rPr>
              <w:t>姓名</w:t>
            </w:r>
          </w:p>
        </w:tc>
        <w:tc>
          <w:tcPr>
            <w:tcW w:w="733"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性别</w:t>
            </w:r>
          </w:p>
        </w:tc>
        <w:tc>
          <w:tcPr>
            <w:tcW w:w="728"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年龄</w:t>
            </w:r>
          </w:p>
        </w:tc>
        <w:tc>
          <w:tcPr>
            <w:tcW w:w="813"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学历</w:t>
            </w:r>
          </w:p>
        </w:tc>
        <w:tc>
          <w:tcPr>
            <w:tcW w:w="1067"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职称</w:t>
            </w:r>
          </w:p>
        </w:tc>
        <w:tc>
          <w:tcPr>
            <w:tcW w:w="1237"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专业</w:t>
            </w:r>
          </w:p>
        </w:tc>
        <w:tc>
          <w:tcPr>
            <w:tcW w:w="1051" w:type="dxa"/>
            <w:tcBorders>
              <w:top w:val="single" w:color="auto" w:sz="12" w:space="0"/>
              <w:left w:val="single" w:color="auto" w:sz="4" w:space="0"/>
              <w:bottom w:val="double" w:color="auto" w:sz="4" w:space="0"/>
              <w:right w:val="single" w:color="auto" w:sz="4" w:space="0"/>
            </w:tcBorders>
            <w:shd w:val="clear" w:color="auto" w:fill="EEECE1"/>
            <w:vAlign w:val="center"/>
          </w:tcPr>
          <w:p>
            <w:pPr>
              <w:widowControl w:val="0"/>
              <w:autoSpaceDE w:val="0"/>
              <w:autoSpaceDN w:val="0"/>
              <w:spacing w:after="0"/>
              <w:ind w:left="-99" w:leftChars="-45" w:right="-110" w:rightChars="-50"/>
              <w:jc w:val="center"/>
              <w:rPr>
                <w:rFonts w:ascii="宋体" w:hAnsi="宋体" w:eastAsia="宋体" w:cs="宋体"/>
                <w:color w:val="auto"/>
                <w:kern w:val="2"/>
              </w:rPr>
            </w:pPr>
            <w:r>
              <w:rPr>
                <w:rFonts w:hint="eastAsia" w:ascii="宋体" w:hAnsi="宋体" w:eastAsia="宋体" w:cs="宋体"/>
                <w:color w:val="auto"/>
                <w:kern w:val="2"/>
              </w:rPr>
              <w:t>经验年限</w:t>
            </w:r>
          </w:p>
        </w:tc>
        <w:tc>
          <w:tcPr>
            <w:tcW w:w="1707" w:type="dxa"/>
            <w:tcBorders>
              <w:top w:val="single" w:color="auto" w:sz="12" w:space="0"/>
              <w:left w:val="single" w:color="auto" w:sz="4" w:space="0"/>
              <w:bottom w:val="double" w:color="auto" w:sz="4"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539" w:type="dxa"/>
            <w:tcBorders>
              <w:top w:val="doub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ind w:right="-125" w:rightChars="-57"/>
              <w:jc w:val="center"/>
              <w:rPr>
                <w:rFonts w:ascii="宋体" w:hAnsi="宋体" w:eastAsia="宋体" w:cs="宋体"/>
                <w:color w:val="auto"/>
                <w:kern w:val="2"/>
              </w:rPr>
            </w:pPr>
          </w:p>
        </w:tc>
        <w:tc>
          <w:tcPr>
            <w:tcW w:w="1376"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33"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28"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813"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67"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237"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51" w:type="dxa"/>
            <w:tcBorders>
              <w:top w:val="doub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707" w:type="dxa"/>
            <w:tcBorders>
              <w:top w:val="doub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707"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707"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8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707"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539" w:type="dxa"/>
            <w:tcBorders>
              <w:top w:val="single" w:color="auto" w:sz="4" w:space="0"/>
              <w:left w:val="single" w:color="auto" w:sz="12"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376"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33"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728"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813"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67"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237"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051" w:type="dxa"/>
            <w:tcBorders>
              <w:top w:val="single" w:color="auto" w:sz="4" w:space="0"/>
              <w:left w:val="single" w:color="auto" w:sz="4" w:space="0"/>
              <w:bottom w:val="single" w:color="auto" w:sz="12" w:space="0"/>
              <w:right w:val="single" w:color="auto" w:sz="4"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c>
          <w:tcPr>
            <w:tcW w:w="1707" w:type="dxa"/>
            <w:tcBorders>
              <w:top w:val="single" w:color="auto" w:sz="4" w:space="0"/>
              <w:left w:val="single" w:color="auto" w:sz="4" w:space="0"/>
              <w:bottom w:val="single" w:color="auto" w:sz="12" w:space="0"/>
              <w:right w:val="single" w:color="auto" w:sz="12" w:space="0"/>
            </w:tcBorders>
            <w:shd w:val="clear" w:color="auto" w:fill="auto"/>
            <w:vAlign w:val="center"/>
          </w:tcPr>
          <w:p>
            <w:pPr>
              <w:widowControl w:val="0"/>
              <w:autoSpaceDE w:val="0"/>
              <w:autoSpaceDN w:val="0"/>
              <w:spacing w:after="0" w:line="400" w:lineRule="exact"/>
              <w:jc w:val="center"/>
              <w:rPr>
                <w:rFonts w:ascii="宋体" w:hAnsi="宋体" w:eastAsia="宋体" w:cs="宋体"/>
                <w:color w:val="auto"/>
                <w:kern w:val="2"/>
              </w:rPr>
            </w:pPr>
          </w:p>
        </w:tc>
      </w:tr>
    </w:tbl>
    <w:p>
      <w:pPr>
        <w:widowControl w:val="0"/>
        <w:autoSpaceDE w:val="0"/>
        <w:autoSpaceDN w:val="0"/>
        <w:spacing w:after="0" w:line="500" w:lineRule="exact"/>
        <w:rPr>
          <w:rFonts w:ascii="宋体" w:hAnsi="宋体" w:eastAsia="宋体" w:cs="宋体"/>
          <w:bCs/>
          <w:color w:val="auto"/>
        </w:rPr>
      </w:pPr>
      <w:r>
        <w:rPr>
          <w:rFonts w:hint="eastAsia" w:ascii="宋体" w:hAnsi="宋体" w:eastAsia="宋体" w:cs="宋体"/>
          <w:bCs/>
          <w:color w:val="auto"/>
          <w:sz w:val="21"/>
          <w:szCs w:val="21"/>
        </w:rPr>
        <w:t>备注</w:t>
      </w:r>
      <w:r>
        <w:rPr>
          <w:rFonts w:hint="eastAsia" w:ascii="Times New Roman" w:hAnsi="Times New Roman" w:eastAsia="宋体" w:cs="宋体"/>
          <w:bCs/>
          <w:color w:val="auto"/>
          <w:sz w:val="21"/>
          <w:szCs w:val="21"/>
        </w:rPr>
        <w:t>：</w:t>
      </w:r>
      <w:r>
        <w:rPr>
          <w:rFonts w:hint="eastAsia" w:ascii="宋体" w:hAnsi="宋体" w:eastAsia="宋体" w:cs="宋体"/>
          <w:color w:val="auto"/>
          <w:sz w:val="21"/>
          <w:szCs w:val="21"/>
        </w:rPr>
        <w:t>根据评分表的要求提交相应资料</w:t>
      </w:r>
      <w:r>
        <w:rPr>
          <w:rFonts w:hint="eastAsia" w:ascii="宋体" w:hAnsi="宋体" w:eastAsia="宋体" w:cs="宋体"/>
          <w:bCs/>
          <w:color w:val="auto"/>
          <w:sz w:val="21"/>
          <w:szCs w:val="21"/>
        </w:rPr>
        <w:t>。</w:t>
      </w:r>
    </w:p>
    <w:p>
      <w:pPr>
        <w:widowControl w:val="0"/>
        <w:autoSpaceDE w:val="0"/>
        <w:autoSpaceDN w:val="0"/>
        <w:spacing w:after="0" w:line="500" w:lineRule="exact"/>
        <w:ind w:firstLine="456" w:firstLineChars="200"/>
        <w:rPr>
          <w:rFonts w:ascii="宋体" w:hAnsi="宋体" w:eastAsia="宋体" w:cs="宋体"/>
          <w:color w:val="auto"/>
          <w:spacing w:val="4"/>
        </w:rPr>
      </w:pPr>
    </w:p>
    <w:p>
      <w:pPr>
        <w:widowControl w:val="0"/>
        <w:autoSpaceDE w:val="0"/>
        <w:autoSpaceDN w:val="0"/>
        <w:spacing w:after="0" w:line="500" w:lineRule="exact"/>
        <w:rPr>
          <w:rFonts w:ascii="宋体" w:hAnsi="宋体" w:eastAsia="宋体" w:cs="宋体"/>
          <w:color w:val="auto"/>
          <w:u w:val="single"/>
        </w:rPr>
      </w:pPr>
      <w:r>
        <w:rPr>
          <w:rFonts w:hint="eastAsia" w:ascii="宋体" w:hAnsi="宋体" w:eastAsia="宋体" w:cs="宋体"/>
          <w:color w:val="auto"/>
          <w:spacing w:val="4"/>
          <w:sz w:val="21"/>
          <w:szCs w:val="21"/>
        </w:rPr>
        <w:t>响应供应商名称（盖公章）：</w:t>
      </w:r>
      <w:r>
        <w:rPr>
          <w:rFonts w:hint="eastAsia" w:ascii="宋体" w:hAnsi="宋体" w:eastAsia="宋体" w:cs="宋体"/>
          <w:color w:val="auto"/>
          <w:spacing w:val="4"/>
          <w:sz w:val="21"/>
          <w:szCs w:val="21"/>
          <w:u w:val="single"/>
        </w:rPr>
        <w:t xml:space="preserve">                             </w:t>
      </w:r>
    </w:p>
    <w:p>
      <w:pPr>
        <w:widowControl w:val="0"/>
        <w:autoSpaceDE w:val="0"/>
        <w:autoSpaceDN w:val="0"/>
        <w:spacing w:after="0" w:line="520" w:lineRule="exact"/>
        <w:rPr>
          <w:rFonts w:ascii="宋体" w:hAnsi="宋体" w:eastAsia="宋体" w:cs="宋体"/>
          <w:color w:val="auto"/>
          <w:spacing w:val="4"/>
          <w:u w:val="single"/>
        </w:rPr>
      </w:pPr>
      <w:r>
        <w:rPr>
          <w:rFonts w:hint="eastAsia" w:ascii="宋体" w:hAnsi="宋体" w:eastAsia="宋体" w:cs="宋体"/>
          <w:color w:val="auto"/>
          <w:spacing w:val="4"/>
          <w:sz w:val="21"/>
          <w:szCs w:val="21"/>
        </w:rPr>
        <w:t>日期：</w:t>
      </w:r>
      <w:r>
        <w:rPr>
          <w:rFonts w:hint="eastAsia" w:ascii="宋体" w:hAnsi="宋体" w:eastAsia="宋体" w:cs="宋体"/>
          <w:color w:val="auto"/>
          <w:spacing w:val="4"/>
          <w:sz w:val="21"/>
          <w:szCs w:val="21"/>
          <w:u w:val="single"/>
        </w:rPr>
        <w:t xml:space="preserve">         </w:t>
      </w:r>
    </w:p>
    <w:p>
      <w:pPr>
        <w:spacing w:line="360" w:lineRule="auto"/>
        <w:rPr>
          <w:rFonts w:ascii="Arial" w:hAnsi="Arial" w:eastAsia="黑体" w:cs="Times New Roman"/>
          <w:bCs/>
          <w:color w:val="auto"/>
          <w:sz w:val="32"/>
          <w:szCs w:val="32"/>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b w:val="0"/>
          <w:bCs/>
          <w:color w:val="auto"/>
        </w:rPr>
      </w:pPr>
      <w:bookmarkStart w:id="123" w:name="_Toc410736194"/>
      <w:bookmarkStart w:id="124" w:name="_Toc410738993"/>
      <w:bookmarkStart w:id="125" w:name="_Toc416770274"/>
      <w:bookmarkStart w:id="126" w:name="_Toc416771385"/>
      <w:r>
        <w:rPr>
          <w:rFonts w:hint="eastAsia" w:cs="黑体"/>
          <w:b w:val="0"/>
          <w:bCs/>
          <w:color w:val="auto"/>
        </w:rPr>
        <w:t>合同条款响应一览表</w:t>
      </w:r>
      <w:bookmarkEnd w:id="123"/>
      <w:bookmarkEnd w:id="124"/>
      <w:bookmarkEnd w:id="125"/>
      <w:bookmarkEnd w:id="126"/>
    </w:p>
    <w:p>
      <w:pPr>
        <w:widowControl w:val="0"/>
        <w:autoSpaceDE w:val="0"/>
        <w:autoSpaceDN w:val="0"/>
        <w:spacing w:after="0" w:line="400" w:lineRule="exact"/>
        <w:ind w:left="945" w:hanging="945" w:hangingChars="450"/>
        <w:rPr>
          <w:rFonts w:ascii="宋体" w:hAnsi="宋体" w:eastAsia="宋体" w:cs="宋体"/>
          <w:color w:val="auto"/>
        </w:rPr>
      </w:pPr>
      <w:r>
        <w:rPr>
          <w:rFonts w:hint="eastAsia" w:ascii="宋体" w:hAnsi="宋体" w:eastAsia="宋体" w:cs="宋体"/>
          <w:color w:val="auto"/>
          <w:sz w:val="21"/>
          <w:szCs w:val="21"/>
        </w:rPr>
        <w:t>说明：响应供应商必须对应竞争性磋商文件的合同条款逐条应答并按要求填写下表。</w:t>
      </w:r>
    </w:p>
    <w:p>
      <w:pPr>
        <w:widowControl w:val="0"/>
        <w:autoSpaceDE w:val="0"/>
        <w:autoSpaceDN w:val="0"/>
        <w:spacing w:after="0" w:line="400" w:lineRule="exact"/>
        <w:ind w:left="945" w:hanging="945" w:hangingChars="450"/>
        <w:rPr>
          <w:rFonts w:ascii="宋体" w:hAnsi="宋体" w:eastAsia="宋体" w:cs="宋体"/>
          <w:color w:val="auto"/>
        </w:rPr>
      </w:pPr>
      <w:r>
        <w:rPr>
          <w:rFonts w:hint="eastAsia" w:ascii="宋体" w:hAnsi="宋体" w:eastAsia="宋体" w:cs="宋体"/>
          <w:color w:val="auto"/>
          <w:sz w:val="21"/>
          <w:szCs w:val="21"/>
        </w:rPr>
        <w:t>响应供应商名称：                                             项目编号：</w:t>
      </w:r>
      <w:r>
        <w:rPr>
          <w:rFonts w:hint="eastAsia" w:ascii="宋体" w:hAnsi="宋体" w:eastAsia="宋体" w:cs="宋体"/>
          <w:bCs/>
          <w:color w:val="auto"/>
          <w:sz w:val="21"/>
          <w:szCs w:val="21"/>
        </w:rPr>
        <w:t>GZGX20GZ00ZC-33</w:t>
      </w:r>
    </w:p>
    <w:tbl>
      <w:tblPr>
        <w:tblStyle w:val="21"/>
        <w:tblW w:w="9507"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0"/>
        <w:gridCol w:w="3094"/>
        <w:gridCol w:w="2575"/>
        <w:gridCol w:w="30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4" w:hRule="atLeast"/>
        </w:trPr>
        <w:tc>
          <w:tcPr>
            <w:tcW w:w="740" w:type="dxa"/>
            <w:tcBorders>
              <w:top w:val="single" w:color="auto" w:sz="12" w:space="0"/>
              <w:left w:val="single" w:color="auto" w:sz="12" w:space="0"/>
              <w:bottom w:val="single" w:color="auto" w:sz="6" w:space="0"/>
              <w:right w:val="single" w:color="auto" w:sz="6" w:space="0"/>
            </w:tcBorders>
            <w:shd w:val="clear" w:color="auto" w:fill="EEECE1"/>
            <w:vAlign w:val="center"/>
          </w:tcPr>
          <w:p>
            <w:pPr>
              <w:widowControl w:val="0"/>
              <w:autoSpaceDE w:val="0"/>
              <w:autoSpaceDN w:val="0"/>
              <w:spacing w:after="0"/>
              <w:ind w:left="-114" w:leftChars="-52" w:right="-119" w:rightChars="-54"/>
              <w:jc w:val="center"/>
              <w:rPr>
                <w:rFonts w:ascii="宋体" w:hAnsi="宋体" w:eastAsia="宋体" w:cs="宋体"/>
                <w:color w:val="auto"/>
                <w:kern w:val="2"/>
              </w:rPr>
            </w:pPr>
            <w:r>
              <w:rPr>
                <w:rFonts w:hint="eastAsia" w:ascii="宋体" w:hAnsi="宋体" w:eastAsia="宋体" w:cs="宋体"/>
                <w:color w:val="auto"/>
                <w:kern w:val="2"/>
              </w:rPr>
              <w:t>序号</w:t>
            </w:r>
          </w:p>
        </w:tc>
        <w:tc>
          <w:tcPr>
            <w:tcW w:w="3094" w:type="dxa"/>
            <w:tcBorders>
              <w:top w:val="single" w:color="auto" w:sz="12"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竞争性磋商文件条款描述</w:t>
            </w:r>
          </w:p>
        </w:tc>
        <w:tc>
          <w:tcPr>
            <w:tcW w:w="2575" w:type="dxa"/>
            <w:tcBorders>
              <w:top w:val="single" w:color="auto" w:sz="12" w:space="0"/>
              <w:left w:val="single" w:color="auto" w:sz="6" w:space="0"/>
              <w:bottom w:val="single" w:color="auto" w:sz="6" w:space="0"/>
              <w:right w:val="single" w:color="auto" w:sz="6"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响应供应商响应描述</w:t>
            </w:r>
          </w:p>
        </w:tc>
        <w:tc>
          <w:tcPr>
            <w:tcW w:w="3098" w:type="dxa"/>
            <w:tcBorders>
              <w:top w:val="single" w:color="auto" w:sz="12" w:space="0"/>
              <w:left w:val="single" w:color="auto" w:sz="6" w:space="0"/>
              <w:bottom w:val="single" w:color="auto" w:sz="6" w:space="0"/>
              <w:right w:val="single" w:color="auto" w:sz="12" w:space="0"/>
            </w:tcBorders>
            <w:shd w:val="clear" w:color="auto" w:fill="EEECE1"/>
            <w:vAlign w:val="center"/>
          </w:tcPr>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sz w:val="21"/>
                <w:szCs w:val="21"/>
              </w:rPr>
              <w:t>偏离情况说明</w:t>
            </w:r>
          </w:p>
          <w:p>
            <w:pPr>
              <w:widowControl w:val="0"/>
              <w:autoSpaceDE w:val="0"/>
              <w:autoSpaceDN w:val="0"/>
              <w:spacing w:after="0"/>
              <w:jc w:val="center"/>
              <w:rPr>
                <w:rFonts w:ascii="宋体" w:hAnsi="宋体" w:eastAsia="宋体" w:cs="宋体"/>
                <w:color w:val="auto"/>
                <w:kern w:val="2"/>
              </w:rPr>
            </w:pPr>
            <w:r>
              <w:rPr>
                <w:rFonts w:hint="eastAsia" w:ascii="宋体" w:hAnsi="宋体" w:eastAsia="宋体" w:cs="宋体"/>
                <w:color w:val="auto"/>
                <w:kern w:val="2"/>
              </w:rPr>
              <w:t>（正偏离/完全响应/负偏离）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74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9"/>
              </w:numPr>
              <w:autoSpaceDN w:val="0"/>
              <w:adjustRightInd/>
              <w:spacing w:after="0"/>
              <w:jc w:val="center"/>
              <w:rPr>
                <w:rFonts w:ascii="宋体" w:hAnsi="宋体" w:eastAsia="宋体" w:cs="宋体"/>
                <w:color w:val="auto"/>
                <w:kern w:val="2"/>
              </w:rPr>
            </w:pPr>
          </w:p>
        </w:tc>
        <w:tc>
          <w:tcPr>
            <w:tcW w:w="3094" w:type="dxa"/>
            <w:tcBorders>
              <w:top w:val="single" w:color="auto" w:sz="6" w:space="0"/>
              <w:left w:val="single" w:color="auto" w:sz="6" w:space="0"/>
              <w:bottom w:val="single" w:color="auto" w:sz="6" w:space="0"/>
              <w:right w:val="single" w:color="auto" w:sz="6" w:space="0"/>
            </w:tcBorders>
            <w:shd w:val="clear" w:color="auto" w:fill="auto"/>
            <w:vAlign w:val="center"/>
          </w:tcPr>
          <w:p>
            <w:pPr>
              <w:pStyle w:val="8"/>
              <w:widowControl/>
              <w:tabs>
                <w:tab w:val="left" w:pos="2340"/>
              </w:tabs>
              <w:rPr>
                <w:rFonts w:hint="default" w:hAnsi="宋体" w:cs="Courier New"/>
                <w:color w:val="auto"/>
                <w:kern w:val="2"/>
                <w:sz w:val="21"/>
              </w:rPr>
            </w:pPr>
          </w:p>
        </w:tc>
        <w:tc>
          <w:tcPr>
            <w:tcW w:w="25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3098"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74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9"/>
              </w:numPr>
              <w:autoSpaceDN w:val="0"/>
              <w:adjustRightInd/>
              <w:spacing w:after="0"/>
              <w:jc w:val="center"/>
              <w:rPr>
                <w:rFonts w:ascii="宋体" w:hAnsi="宋体" w:eastAsia="宋体" w:cs="宋体"/>
                <w:color w:val="auto"/>
                <w:kern w:val="2"/>
              </w:rPr>
            </w:pPr>
          </w:p>
        </w:tc>
        <w:tc>
          <w:tcPr>
            <w:tcW w:w="309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snapToGrid w:val="0"/>
                <w:color w:val="auto"/>
                <w:kern w:val="2"/>
              </w:rPr>
            </w:pPr>
          </w:p>
        </w:tc>
        <w:tc>
          <w:tcPr>
            <w:tcW w:w="25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3098"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74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9"/>
              </w:numPr>
              <w:autoSpaceDN w:val="0"/>
              <w:adjustRightInd/>
              <w:spacing w:after="0"/>
              <w:jc w:val="center"/>
              <w:rPr>
                <w:rFonts w:ascii="宋体" w:hAnsi="宋体" w:eastAsia="宋体" w:cs="宋体"/>
                <w:color w:val="auto"/>
                <w:kern w:val="2"/>
              </w:rPr>
            </w:pPr>
          </w:p>
        </w:tc>
        <w:tc>
          <w:tcPr>
            <w:tcW w:w="309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snapToGrid w:val="0"/>
                <w:color w:val="auto"/>
                <w:kern w:val="2"/>
              </w:rPr>
            </w:pPr>
          </w:p>
        </w:tc>
        <w:tc>
          <w:tcPr>
            <w:tcW w:w="25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3098"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4" w:hRule="atLeast"/>
        </w:trPr>
        <w:tc>
          <w:tcPr>
            <w:tcW w:w="74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val="0"/>
              <w:numPr>
                <w:ilvl w:val="0"/>
                <w:numId w:val="59"/>
              </w:numPr>
              <w:autoSpaceDN w:val="0"/>
              <w:adjustRightInd/>
              <w:spacing w:after="0"/>
              <w:jc w:val="center"/>
              <w:rPr>
                <w:rFonts w:ascii="宋体" w:hAnsi="宋体" w:eastAsia="宋体" w:cs="宋体"/>
                <w:color w:val="auto"/>
                <w:kern w:val="2"/>
              </w:rPr>
            </w:pPr>
          </w:p>
        </w:tc>
        <w:tc>
          <w:tcPr>
            <w:tcW w:w="309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rPr>
                <w:rFonts w:ascii="宋体" w:hAnsi="宋体" w:eastAsia="宋体" w:cs="宋体"/>
                <w:snapToGrid w:val="0"/>
                <w:color w:val="auto"/>
                <w:kern w:val="2"/>
              </w:rPr>
            </w:pPr>
          </w:p>
        </w:tc>
        <w:tc>
          <w:tcPr>
            <w:tcW w:w="257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3098"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740" w:type="dxa"/>
            <w:tcBorders>
              <w:top w:val="single" w:color="auto" w:sz="6" w:space="0"/>
              <w:left w:val="single" w:color="auto" w:sz="12" w:space="0"/>
              <w:bottom w:val="single" w:color="auto" w:sz="12" w:space="0"/>
              <w:right w:val="single" w:color="auto" w:sz="6" w:space="0"/>
            </w:tcBorders>
            <w:shd w:val="clear" w:color="auto" w:fill="auto"/>
            <w:vAlign w:val="center"/>
          </w:tcPr>
          <w:p>
            <w:pPr>
              <w:widowControl w:val="0"/>
              <w:numPr>
                <w:ilvl w:val="0"/>
                <w:numId w:val="59"/>
              </w:numPr>
              <w:autoSpaceDN w:val="0"/>
              <w:adjustRightInd/>
              <w:spacing w:after="0"/>
              <w:jc w:val="center"/>
              <w:rPr>
                <w:rFonts w:ascii="宋体" w:hAnsi="宋体" w:eastAsia="宋体" w:cs="宋体"/>
                <w:color w:val="auto"/>
                <w:kern w:val="2"/>
              </w:rPr>
            </w:pPr>
          </w:p>
        </w:tc>
        <w:tc>
          <w:tcPr>
            <w:tcW w:w="3094"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val="0"/>
              <w:autoSpaceDE w:val="0"/>
              <w:autoSpaceDN w:val="0"/>
              <w:spacing w:after="0"/>
              <w:rPr>
                <w:rFonts w:ascii="宋体" w:hAnsi="宋体" w:eastAsia="宋体" w:cs="宋体"/>
                <w:snapToGrid w:val="0"/>
                <w:color w:val="auto"/>
                <w:kern w:val="2"/>
              </w:rPr>
            </w:pPr>
          </w:p>
        </w:tc>
        <w:tc>
          <w:tcPr>
            <w:tcW w:w="2575"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c>
          <w:tcPr>
            <w:tcW w:w="3098" w:type="dxa"/>
            <w:tcBorders>
              <w:top w:val="single" w:color="auto" w:sz="6" w:space="0"/>
              <w:left w:val="single" w:color="auto" w:sz="6" w:space="0"/>
              <w:bottom w:val="single" w:color="auto" w:sz="12" w:space="0"/>
              <w:right w:val="single" w:color="auto" w:sz="12" w:space="0"/>
            </w:tcBorders>
            <w:shd w:val="clear" w:color="auto" w:fill="auto"/>
            <w:vAlign w:val="center"/>
          </w:tcPr>
          <w:p>
            <w:pPr>
              <w:widowControl w:val="0"/>
              <w:autoSpaceDE w:val="0"/>
              <w:autoSpaceDN w:val="0"/>
              <w:spacing w:after="0"/>
              <w:jc w:val="center"/>
              <w:rPr>
                <w:rFonts w:ascii="宋体" w:hAnsi="宋体" w:eastAsia="宋体" w:cs="宋体"/>
                <w:color w:val="auto"/>
                <w:kern w:val="2"/>
              </w:rPr>
            </w:pPr>
          </w:p>
        </w:tc>
      </w:tr>
    </w:tbl>
    <w:p>
      <w:pPr>
        <w:widowControl w:val="0"/>
        <w:autoSpaceDE w:val="0"/>
        <w:autoSpaceDN w:val="0"/>
        <w:spacing w:after="0" w:line="500" w:lineRule="exact"/>
        <w:ind w:left="360"/>
        <w:rPr>
          <w:rFonts w:ascii="宋体" w:hAnsi="宋体" w:eastAsia="宋体" w:cs="宋体"/>
          <w:color w:val="auto"/>
          <w:u w:val="single"/>
        </w:rPr>
      </w:pPr>
      <w:r>
        <w:rPr>
          <w:rFonts w:hint="eastAsia" w:ascii="宋体" w:hAnsi="宋体" w:eastAsia="宋体" w:cs="宋体"/>
          <w:color w:val="auto"/>
          <w:spacing w:val="4"/>
          <w:sz w:val="21"/>
          <w:szCs w:val="21"/>
        </w:rPr>
        <w:t>响应供应商名称（盖公章）：</w:t>
      </w:r>
      <w:r>
        <w:rPr>
          <w:rFonts w:hint="eastAsia" w:ascii="宋体" w:hAnsi="宋体" w:eastAsia="宋体" w:cs="宋体"/>
          <w:color w:val="auto"/>
          <w:spacing w:val="4"/>
          <w:sz w:val="21"/>
          <w:szCs w:val="21"/>
          <w:u w:val="single"/>
        </w:rPr>
        <w:t xml:space="preserve">                             </w:t>
      </w:r>
    </w:p>
    <w:p>
      <w:pPr>
        <w:widowControl w:val="0"/>
        <w:autoSpaceDE w:val="0"/>
        <w:autoSpaceDN w:val="0"/>
        <w:spacing w:after="0" w:line="520" w:lineRule="exact"/>
        <w:ind w:left="360"/>
        <w:rPr>
          <w:rFonts w:ascii="宋体" w:hAnsi="宋体" w:eastAsia="宋体" w:cs="宋体"/>
          <w:color w:val="auto"/>
          <w:spacing w:val="4"/>
        </w:rPr>
      </w:pPr>
      <w:r>
        <w:rPr>
          <w:rFonts w:hint="eastAsia" w:ascii="宋体" w:hAnsi="宋体" w:eastAsia="宋体" w:cs="宋体"/>
          <w:color w:val="auto"/>
          <w:spacing w:val="4"/>
          <w:sz w:val="21"/>
          <w:szCs w:val="21"/>
        </w:rPr>
        <w:t>日期：</w:t>
      </w:r>
      <w:r>
        <w:rPr>
          <w:rFonts w:hint="eastAsia" w:ascii="宋体" w:hAnsi="宋体" w:eastAsia="宋体" w:cs="宋体"/>
          <w:color w:val="auto"/>
          <w:spacing w:val="4"/>
          <w:sz w:val="21"/>
          <w:szCs w:val="21"/>
          <w:u w:val="single"/>
        </w:rPr>
        <w:t xml:space="preserve">         </w:t>
      </w:r>
    </w:p>
    <w:p>
      <w:pPr>
        <w:widowControl w:val="0"/>
        <w:autoSpaceDN w:val="0"/>
        <w:adjustRightInd/>
        <w:spacing w:after="0" w:line="440" w:lineRule="exact"/>
        <w:ind w:left="780"/>
        <w:jc w:val="both"/>
        <w:rPr>
          <w:b/>
          <w:color w:val="auto"/>
        </w:rPr>
      </w:pPr>
      <w:r>
        <w:rPr>
          <w:rFonts w:hint="eastAsia" w:ascii="宋体" w:hAnsi="宋体" w:eastAsia="宋体" w:cs="Times New Roman"/>
          <w:color w:val="auto"/>
          <w:sz w:val="21"/>
          <w:szCs w:val="21"/>
        </w:rPr>
        <w:br w:type="page"/>
      </w:r>
      <w:bookmarkEnd w:id="101"/>
      <w:bookmarkStart w:id="127" w:name="_Toc275865624"/>
    </w:p>
    <w:bookmarkEnd w:id="127"/>
    <w:p>
      <w:pPr>
        <w:pStyle w:val="2"/>
        <w:widowControl/>
        <w:adjustRightInd w:val="0"/>
        <w:spacing w:beforeLines="50" w:afterLines="50" w:line="360" w:lineRule="auto"/>
        <w:jc w:val="center"/>
        <w:rPr>
          <w:b w:val="0"/>
          <w:bCs/>
          <w:color w:val="auto"/>
        </w:rPr>
      </w:pPr>
      <w:r>
        <w:rPr>
          <w:rFonts w:hint="eastAsia" w:cs="黑体"/>
          <w:b w:val="0"/>
          <w:bCs/>
          <w:color w:val="auto"/>
        </w:rPr>
        <w:t>招标代理服务费承诺书</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广州公信招标有限公司：</w:t>
      </w:r>
    </w:p>
    <w:p>
      <w:pPr>
        <w:widowControl w:val="0"/>
        <w:autoSpaceDE w:val="0"/>
        <w:autoSpaceDN w:val="0"/>
        <w:spacing w:after="0" w:line="360" w:lineRule="auto"/>
        <w:ind w:firstLine="420" w:firstLineChars="200"/>
        <w:rPr>
          <w:rFonts w:ascii="宋体" w:hAnsi="Times New Roman" w:eastAsia="宋体" w:cs="宋体"/>
          <w:color w:val="auto"/>
        </w:rPr>
      </w:pPr>
      <w:r>
        <w:rPr>
          <w:rFonts w:hint="eastAsia" w:ascii="宋体" w:hAnsi="宋体" w:eastAsia="宋体" w:cs="宋体"/>
          <w:color w:val="auto"/>
          <w:sz w:val="21"/>
          <w:szCs w:val="21"/>
        </w:rPr>
        <w:t>本公司</w:t>
      </w:r>
      <w:r>
        <w:rPr>
          <w:rFonts w:hint="eastAsia" w:ascii="宋体" w:hAnsi="宋体" w:eastAsia="宋体" w:cs="宋体"/>
          <w:color w:val="auto"/>
          <w:sz w:val="21"/>
          <w:szCs w:val="21"/>
          <w:u w:val="single"/>
        </w:rPr>
        <w:t xml:space="preserve">     (响应供应商名称)      </w:t>
      </w:r>
      <w:r>
        <w:rPr>
          <w:rFonts w:hint="eastAsia" w:ascii="宋体" w:hAnsi="宋体" w:eastAsia="宋体" w:cs="宋体"/>
          <w:color w:val="auto"/>
          <w:sz w:val="21"/>
          <w:szCs w:val="21"/>
        </w:rPr>
        <w:t>在参加</w:t>
      </w:r>
      <w:r>
        <w:rPr>
          <w:rFonts w:hint="eastAsia" w:ascii="宋体" w:hAnsi="宋体" w:eastAsia="宋体" w:cs="宋体"/>
          <w:color w:val="auto"/>
          <w:sz w:val="21"/>
          <w:szCs w:val="21"/>
          <w:u w:val="single"/>
        </w:rPr>
        <w:t xml:space="preserve">     (项目名称)     </w:t>
      </w:r>
      <w:r>
        <w:rPr>
          <w:rFonts w:hint="eastAsia" w:ascii="宋体" w:hAnsi="宋体" w:eastAsia="宋体" w:cs="宋体"/>
          <w:color w:val="auto"/>
          <w:sz w:val="21"/>
          <w:szCs w:val="21"/>
        </w:rPr>
        <w:t>(</w:t>
      </w:r>
      <w:r>
        <w:rPr>
          <w:rFonts w:hint="eastAsia" w:ascii="Times New Roman" w:hAnsi="Times New Roman" w:eastAsia="宋体" w:cs="宋体"/>
          <w:color w:val="auto"/>
          <w:sz w:val="21"/>
          <w:szCs w:val="21"/>
        </w:rPr>
        <w:t>项目编号：GZGX20GZ00ZC-33</w:t>
      </w:r>
      <w:r>
        <w:rPr>
          <w:rFonts w:hint="eastAsia" w:ascii="宋体" w:hAnsi="宋体" w:eastAsia="宋体" w:cs="宋体"/>
          <w:color w:val="auto"/>
          <w:sz w:val="21"/>
          <w:szCs w:val="21"/>
        </w:rPr>
        <w:t>)的磋商中如获成交</w:t>
      </w:r>
      <w:r>
        <w:rPr>
          <w:rFonts w:hint="eastAsia" w:ascii="宋体" w:hAnsi="Times New Roman" w:eastAsia="宋体" w:cs="宋体"/>
          <w:color w:val="auto"/>
          <w:sz w:val="21"/>
          <w:szCs w:val="21"/>
        </w:rPr>
        <w:t>，我公司保证按照磋商文件</w:t>
      </w:r>
      <w:r>
        <w:rPr>
          <w:rFonts w:hint="eastAsia" w:ascii="宋体" w:hAnsi="宋体" w:eastAsia="宋体" w:cs="宋体"/>
          <w:color w:val="auto"/>
          <w:sz w:val="21"/>
          <w:szCs w:val="21"/>
        </w:rPr>
        <w:t>的</w:t>
      </w:r>
      <w:r>
        <w:rPr>
          <w:rFonts w:hint="eastAsia" w:ascii="宋体" w:hAnsi="Times New Roman" w:eastAsia="宋体" w:cs="宋体"/>
          <w:color w:val="auto"/>
          <w:sz w:val="21"/>
          <w:szCs w:val="21"/>
        </w:rPr>
        <w:t>规定缴纳“招标代理服务费”后，凭领取人身份证复印件并加盖公章领取《成交通知书》原件。如采用电汇或银行转账，我</w:t>
      </w:r>
      <w:r>
        <w:rPr>
          <w:rFonts w:hint="eastAsia" w:ascii="宋体" w:hAnsi="宋体" w:eastAsia="宋体" w:cs="宋体"/>
          <w:color w:val="auto"/>
          <w:sz w:val="21"/>
          <w:szCs w:val="21"/>
        </w:rPr>
        <w:t>公</w:t>
      </w:r>
      <w:r>
        <w:rPr>
          <w:rFonts w:hint="eastAsia" w:ascii="宋体" w:hAnsi="Times New Roman" w:eastAsia="宋体" w:cs="宋体"/>
          <w:color w:val="auto"/>
          <w:sz w:val="21"/>
          <w:szCs w:val="21"/>
        </w:rPr>
        <w:t>司将同时递交招标代理服务费缴费凭证复印件并加盖公章。</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如我公司违反上款承诺,愿承担由此引起的一切法律责任。</w:t>
      </w:r>
    </w:p>
    <w:p>
      <w:pPr>
        <w:widowControl w:val="0"/>
        <w:autoSpaceDE w:val="0"/>
        <w:autoSpaceDN w:val="0"/>
        <w:spacing w:after="0" w:line="360" w:lineRule="auto"/>
        <w:ind w:firstLine="420" w:firstLineChars="200"/>
        <w:rPr>
          <w:rFonts w:ascii="宋体" w:hAnsi="宋体" w:eastAsia="宋体" w:cs="宋体"/>
          <w:color w:val="auto"/>
        </w:rPr>
      </w:pPr>
      <w:r>
        <w:rPr>
          <w:rFonts w:hint="eastAsia" w:ascii="宋体" w:hAnsi="宋体" w:eastAsia="宋体" w:cs="宋体"/>
          <w:color w:val="auto"/>
          <w:sz w:val="21"/>
          <w:szCs w:val="21"/>
        </w:rPr>
        <w:t>特此承诺!</w:t>
      </w:r>
      <w:r>
        <w:rPr>
          <w:rFonts w:hint="eastAsia" w:ascii="宋体" w:hAnsi="宋体" w:eastAsia="宋体" w:cs="宋体"/>
          <w:color w:val="auto"/>
          <w:sz w:val="21"/>
          <w:szCs w:val="21"/>
        </w:rPr>
        <w:tab/>
      </w:r>
    </w:p>
    <w:p>
      <w:pPr>
        <w:widowControl w:val="0"/>
        <w:autoSpaceDE w:val="0"/>
        <w:autoSpaceDN w:val="0"/>
        <w:spacing w:after="0" w:line="360" w:lineRule="auto"/>
        <w:ind w:firstLine="880" w:firstLineChars="400"/>
        <w:rPr>
          <w:rFonts w:ascii="宋体" w:hAnsi="宋体" w:eastAsia="宋体" w:cs="宋体"/>
          <w:color w:val="auto"/>
        </w:rPr>
      </w:pPr>
    </w:p>
    <w:p>
      <w:pPr>
        <w:widowControl w:val="0"/>
        <w:autoSpaceDE w:val="0"/>
        <w:autoSpaceDN w:val="0"/>
        <w:spacing w:after="0" w:line="360" w:lineRule="auto"/>
        <w:ind w:left="315"/>
        <w:rPr>
          <w:rFonts w:ascii="宋体" w:hAnsi="宋体" w:eastAsia="宋体" w:cs="宋体"/>
          <w:color w:val="auto"/>
        </w:rPr>
      </w:pPr>
      <w:r>
        <w:rPr>
          <w:rFonts w:hint="eastAsia" w:ascii="宋体" w:hAnsi="宋体" w:eastAsia="宋体" w:cs="宋体"/>
          <w:color w:val="auto"/>
          <w:sz w:val="21"/>
          <w:szCs w:val="21"/>
        </w:rPr>
        <w:t>响应供应商名称(盖公章):</w:t>
      </w:r>
    </w:p>
    <w:p>
      <w:pPr>
        <w:widowControl w:val="0"/>
        <w:autoSpaceDE w:val="0"/>
        <w:autoSpaceDN w:val="0"/>
        <w:spacing w:after="0" w:line="360" w:lineRule="auto"/>
        <w:ind w:left="315"/>
        <w:rPr>
          <w:rFonts w:ascii="宋体" w:hAnsi="宋体" w:eastAsia="宋体" w:cs="宋体"/>
          <w:color w:val="auto"/>
        </w:rPr>
      </w:pPr>
      <w:r>
        <w:rPr>
          <w:rFonts w:hint="eastAsia" w:ascii="宋体" w:hAnsi="宋体" w:eastAsia="宋体" w:cs="宋体"/>
          <w:color w:val="auto"/>
          <w:sz w:val="21"/>
          <w:szCs w:val="21"/>
        </w:rPr>
        <w:t>响应供应商地址:</w:t>
      </w:r>
    </w:p>
    <w:p>
      <w:pPr>
        <w:widowControl w:val="0"/>
        <w:autoSpaceDE w:val="0"/>
        <w:autoSpaceDN w:val="0"/>
        <w:spacing w:after="0" w:line="360" w:lineRule="auto"/>
        <w:ind w:left="315"/>
        <w:rPr>
          <w:rFonts w:ascii="宋体" w:hAnsi="宋体" w:eastAsia="宋体" w:cs="宋体"/>
          <w:color w:val="auto"/>
        </w:rPr>
      </w:pPr>
      <w:r>
        <w:rPr>
          <w:rFonts w:hint="eastAsia" w:ascii="宋体" w:hAnsi="宋体" w:eastAsia="宋体" w:cs="宋体"/>
          <w:color w:val="auto"/>
          <w:sz w:val="21"/>
          <w:szCs w:val="21"/>
        </w:rPr>
        <w:t>电话:</w:t>
      </w:r>
    </w:p>
    <w:p>
      <w:pPr>
        <w:widowControl w:val="0"/>
        <w:autoSpaceDE w:val="0"/>
        <w:autoSpaceDN w:val="0"/>
        <w:spacing w:after="0" w:line="360" w:lineRule="auto"/>
        <w:ind w:left="315"/>
        <w:rPr>
          <w:rFonts w:ascii="宋体" w:hAnsi="宋体" w:eastAsia="宋体" w:cs="宋体"/>
          <w:color w:val="auto"/>
        </w:rPr>
      </w:pPr>
      <w:r>
        <w:rPr>
          <w:rFonts w:hint="eastAsia" w:ascii="宋体" w:hAnsi="宋体" w:eastAsia="宋体" w:cs="宋体"/>
          <w:color w:val="auto"/>
          <w:sz w:val="21"/>
          <w:szCs w:val="21"/>
        </w:rPr>
        <w:t>传真:</w:t>
      </w:r>
    </w:p>
    <w:p>
      <w:pPr>
        <w:widowControl w:val="0"/>
        <w:autoSpaceDE w:val="0"/>
        <w:autoSpaceDN w:val="0"/>
        <w:spacing w:after="0" w:line="360" w:lineRule="auto"/>
        <w:ind w:left="315"/>
        <w:rPr>
          <w:rFonts w:ascii="宋体" w:hAnsi="宋体" w:eastAsia="宋体" w:cs="宋体"/>
          <w:color w:val="auto"/>
        </w:rPr>
      </w:pPr>
      <w:r>
        <w:rPr>
          <w:rFonts w:hint="eastAsia" w:ascii="宋体" w:hAnsi="Times New Roman" w:eastAsia="宋体" w:cs="宋体"/>
          <w:color w:val="auto"/>
          <w:sz w:val="21"/>
          <w:szCs w:val="21"/>
        </w:rPr>
        <w:t>法定代表人或</w:t>
      </w:r>
      <w:r>
        <w:rPr>
          <w:rFonts w:hint="eastAsia" w:ascii="宋体" w:hAnsi="宋体" w:eastAsia="宋体" w:cs="宋体"/>
          <w:color w:val="auto"/>
          <w:sz w:val="21"/>
          <w:szCs w:val="21"/>
        </w:rPr>
        <w:t>响应供应商授权代表（签名或盖章）：</w:t>
      </w:r>
    </w:p>
    <w:p>
      <w:pPr>
        <w:widowControl w:val="0"/>
        <w:autoSpaceDE w:val="0"/>
        <w:autoSpaceDN w:val="0"/>
        <w:spacing w:after="0" w:line="360" w:lineRule="auto"/>
        <w:ind w:left="315"/>
        <w:rPr>
          <w:rFonts w:ascii="宋体" w:hAnsi="宋体" w:eastAsia="宋体" w:cs="宋体"/>
          <w:color w:val="auto"/>
        </w:rPr>
      </w:pPr>
      <w:r>
        <w:rPr>
          <w:rFonts w:hint="eastAsia" w:ascii="宋体" w:hAnsi="宋体" w:eastAsia="宋体" w:cs="宋体"/>
          <w:color w:val="auto"/>
          <w:sz w:val="21"/>
          <w:szCs w:val="21"/>
        </w:rPr>
        <w:t>签署日期:</w:t>
      </w:r>
    </w:p>
    <w:p>
      <w:pPr>
        <w:spacing w:line="360" w:lineRule="auto"/>
        <w:rPr>
          <w:rFonts w:ascii="Arial" w:hAnsi="Arial" w:eastAsia="黑体" w:cs="Times New Roman"/>
          <w:bCs/>
          <w:color w:val="auto"/>
          <w:sz w:val="32"/>
          <w:szCs w:val="32"/>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p>
      <w:pPr>
        <w:pStyle w:val="2"/>
        <w:widowControl/>
        <w:adjustRightInd w:val="0"/>
        <w:spacing w:beforeLines="50" w:afterLines="50" w:line="360" w:lineRule="auto"/>
        <w:jc w:val="center"/>
        <w:rPr>
          <w:rFonts w:ascii="仿宋_GB2312" w:eastAsia="仿宋_GB2312" w:cs="仿宋_GB2312"/>
          <w:b w:val="0"/>
          <w:bCs/>
          <w:color w:val="auto"/>
          <w:sz w:val="28"/>
          <w:szCs w:val="28"/>
        </w:rPr>
      </w:pPr>
      <w:bookmarkStart w:id="128" w:name="_Toc416771389"/>
      <w:bookmarkStart w:id="129" w:name="_Toc410738997"/>
      <w:bookmarkStart w:id="130" w:name="_Toc275865626"/>
      <w:bookmarkStart w:id="131" w:name="_Toc173553195"/>
      <w:bookmarkStart w:id="132" w:name="_Toc410736198"/>
      <w:bookmarkStart w:id="133" w:name="_Toc416770278"/>
      <w:r>
        <w:rPr>
          <w:rFonts w:hint="eastAsia" w:cs="黑体"/>
          <w:b w:val="0"/>
          <w:bCs/>
          <w:color w:val="auto"/>
        </w:rPr>
        <w:t>开票资料说明函</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广州公信招标有限公司:</w:t>
      </w:r>
    </w:p>
    <w:p>
      <w:pPr>
        <w:widowControl w:val="0"/>
        <w:autoSpaceDE w:val="0"/>
        <w:autoSpaceDN w:val="0"/>
        <w:spacing w:after="0" w:line="360" w:lineRule="auto"/>
        <w:ind w:firstLine="420" w:firstLineChars="200"/>
        <w:rPr>
          <w:rFonts w:ascii="宋体" w:hAnsi="Times New Roman" w:eastAsia="宋体" w:cs="宋体"/>
          <w:color w:val="auto"/>
        </w:rPr>
      </w:pPr>
      <w:r>
        <w:rPr>
          <w:rFonts w:hint="eastAsia" w:ascii="宋体" w:hAnsi="宋体" w:eastAsia="宋体" w:cs="宋体"/>
          <w:color w:val="auto"/>
          <w:sz w:val="21"/>
          <w:szCs w:val="21"/>
        </w:rPr>
        <w:t>本公司</w:t>
      </w:r>
      <w:r>
        <w:rPr>
          <w:rFonts w:hint="eastAsia" w:ascii="宋体" w:hAnsi="宋体" w:eastAsia="宋体" w:cs="宋体"/>
          <w:color w:val="auto"/>
          <w:sz w:val="21"/>
          <w:szCs w:val="21"/>
          <w:u w:val="single"/>
        </w:rPr>
        <w:t xml:space="preserve">       (供应商名称)      </w:t>
      </w:r>
      <w:r>
        <w:rPr>
          <w:rFonts w:hint="eastAsia" w:ascii="宋体" w:hAnsi="宋体" w:eastAsia="宋体" w:cs="宋体"/>
          <w:color w:val="auto"/>
          <w:sz w:val="21"/>
          <w:szCs w:val="21"/>
        </w:rPr>
        <w:t>在参加在贵公司举行的</w:t>
      </w:r>
      <w:r>
        <w:rPr>
          <w:rFonts w:hint="eastAsia" w:ascii="宋体" w:hAnsi="宋体" w:eastAsia="宋体" w:cs="宋体"/>
          <w:color w:val="auto"/>
          <w:sz w:val="21"/>
          <w:szCs w:val="21"/>
          <w:u w:val="single"/>
        </w:rPr>
        <w:t xml:space="preserve">       (项目名称)      </w:t>
      </w:r>
      <w:r>
        <w:rPr>
          <w:rFonts w:hint="eastAsia" w:ascii="宋体" w:hAnsi="宋体" w:eastAsia="宋体" w:cs="宋体"/>
          <w:color w:val="auto"/>
          <w:sz w:val="21"/>
          <w:szCs w:val="21"/>
        </w:rPr>
        <w:t>(</w:t>
      </w:r>
      <w:r>
        <w:rPr>
          <w:rFonts w:hint="eastAsia" w:ascii="Times New Roman" w:hAnsi="Times New Roman" w:eastAsia="宋体" w:cs="宋体"/>
          <w:color w:val="auto"/>
          <w:sz w:val="21"/>
          <w:szCs w:val="21"/>
        </w:rPr>
        <w:t>项目编号：GZGX20GZ00ZC-33)</w:t>
      </w:r>
      <w:r>
        <w:rPr>
          <w:rFonts w:hint="eastAsia" w:ascii="宋体" w:hAnsi="宋体" w:eastAsia="宋体" w:cs="宋体"/>
          <w:color w:val="auto"/>
          <w:sz w:val="21"/>
          <w:szCs w:val="21"/>
        </w:rPr>
        <w:t>的招标中如获成交</w:t>
      </w:r>
      <w:r>
        <w:rPr>
          <w:rFonts w:hint="eastAsia" w:ascii="宋体" w:hAnsi="Times New Roman" w:eastAsia="宋体" w:cs="宋体"/>
          <w:color w:val="auto"/>
          <w:sz w:val="21"/>
          <w:szCs w:val="21"/>
        </w:rPr>
        <w:t>，则开票类型选择</w:t>
      </w:r>
      <w:r>
        <w:rPr>
          <w:rFonts w:hint="eastAsia" w:ascii="宋体" w:hAnsi="宋体" w:eastAsia="宋体" w:cs="宋体"/>
          <w:b/>
          <w:color w:val="auto"/>
          <w:sz w:val="21"/>
          <w:szCs w:val="21"/>
          <w:u w:val="single"/>
        </w:rPr>
        <w:t>□增值税普通发票□增值税专用发票</w:t>
      </w:r>
      <w:r>
        <w:rPr>
          <w:rFonts w:hint="eastAsia" w:ascii="宋体" w:hAnsi="宋体" w:eastAsia="宋体" w:cs="宋体"/>
          <w:color w:val="auto"/>
          <w:sz w:val="21"/>
          <w:szCs w:val="21"/>
        </w:rPr>
        <w:t>（</w:t>
      </w:r>
      <w:r>
        <w:rPr>
          <w:rFonts w:hint="eastAsia" w:ascii="宋体" w:hAnsi="宋体" w:eastAsia="宋体" w:cs="宋体"/>
          <w:b/>
          <w:color w:val="auto"/>
          <w:sz w:val="21"/>
          <w:szCs w:val="21"/>
        </w:rPr>
        <w:t>请在对应的“□”打“√”，且只能选择其中一项）</w:t>
      </w:r>
      <w:r>
        <w:rPr>
          <w:rFonts w:hint="eastAsia" w:ascii="宋体" w:hAnsi="Times New Roman" w:eastAsia="宋体" w:cs="宋体"/>
          <w:color w:val="auto"/>
          <w:sz w:val="21"/>
          <w:szCs w:val="21"/>
        </w:rPr>
        <w:t>，以及我司的开票资料如下：</w:t>
      </w:r>
    </w:p>
    <w:tbl>
      <w:tblPr>
        <w:tblStyle w:val="21"/>
        <w:tblW w:w="907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71"/>
        <w:gridCol w:w="3763"/>
        <w:gridCol w:w="1179"/>
        <w:gridCol w:w="16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2471" w:type="dxa"/>
            <w:tcBorders>
              <w:top w:val="single" w:color="auto" w:sz="12"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单位名称</w:t>
            </w:r>
          </w:p>
        </w:tc>
        <w:tc>
          <w:tcPr>
            <w:tcW w:w="6607" w:type="dxa"/>
            <w:gridSpan w:val="3"/>
            <w:tcBorders>
              <w:top w:val="single" w:color="auto" w:sz="12"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2471"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宋体" w:eastAsia="宋体" w:cs="宋体"/>
                <w:color w:val="auto"/>
                <w:kern w:val="2"/>
              </w:rPr>
              <w:t>纳税人识别号</w:t>
            </w:r>
          </w:p>
        </w:tc>
        <w:tc>
          <w:tcPr>
            <w:tcW w:w="6607" w:type="dxa"/>
            <w:gridSpan w:val="3"/>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2471"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地址</w:t>
            </w:r>
          </w:p>
        </w:tc>
        <w:tc>
          <w:tcPr>
            <w:tcW w:w="6607" w:type="dxa"/>
            <w:gridSpan w:val="3"/>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72" w:hRule="atLeast"/>
          <w:jc w:val="center"/>
        </w:trPr>
        <w:tc>
          <w:tcPr>
            <w:tcW w:w="2471"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开户银行</w:t>
            </w:r>
            <w:r>
              <w:rPr>
                <w:rFonts w:hint="eastAsia" w:ascii="宋体" w:hAnsi="Times New Roman" w:eastAsia="宋体" w:cs="宋体"/>
                <w:color w:val="auto"/>
                <w:kern w:val="2"/>
              </w:rPr>
              <w:br w:type="textWrapping"/>
            </w:r>
            <w:r>
              <w:rPr>
                <w:rFonts w:hint="eastAsia" w:ascii="宋体" w:hAnsi="宋体" w:eastAsia="宋体" w:cs="宋体"/>
                <w:color w:val="auto"/>
                <w:kern w:val="2"/>
                <w:sz w:val="20"/>
                <w:szCs w:val="20"/>
              </w:rPr>
              <w:t>（具体到XX银行XX支行）</w:t>
            </w:r>
          </w:p>
        </w:tc>
        <w:tc>
          <w:tcPr>
            <w:tcW w:w="3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联系电话</w:t>
            </w:r>
          </w:p>
        </w:tc>
        <w:tc>
          <w:tcPr>
            <w:tcW w:w="1665"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2471"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账    号</w:t>
            </w:r>
          </w:p>
        </w:tc>
        <w:tc>
          <w:tcPr>
            <w:tcW w:w="3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r>
              <w:rPr>
                <w:rFonts w:hint="eastAsia" w:ascii="宋体" w:hAnsi="Times New Roman" w:eastAsia="宋体" w:cs="宋体"/>
                <w:color w:val="auto"/>
                <w:kern w:val="2"/>
              </w:rPr>
              <w:t>联系人</w:t>
            </w:r>
          </w:p>
        </w:tc>
        <w:tc>
          <w:tcPr>
            <w:tcW w:w="1665" w:type="dxa"/>
            <w:tcBorders>
              <w:top w:val="single" w:color="auto" w:sz="4" w:space="0"/>
              <w:left w:val="single" w:color="auto" w:sz="4" w:space="0"/>
              <w:bottom w:val="single" w:color="auto" w:sz="4" w:space="0"/>
              <w:right w:val="single" w:color="auto" w:sz="12" w:space="0"/>
            </w:tcBorders>
            <w:shd w:val="clear" w:color="auto" w:fill="auto"/>
            <w:vAlign w:val="center"/>
          </w:tcPr>
          <w:p>
            <w:pPr>
              <w:widowControl w:val="0"/>
              <w:autoSpaceDE w:val="0"/>
              <w:autoSpaceDN w:val="0"/>
              <w:spacing w:after="0"/>
              <w:jc w:val="center"/>
              <w:rPr>
                <w:rFonts w:ascii="宋体" w:hAnsi="Times New Roman" w:eastAsia="宋体" w:cs="宋体"/>
                <w:color w:val="auto"/>
                <w:kern w:val="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73" w:hRule="atLeast"/>
          <w:jc w:val="center"/>
        </w:trPr>
        <w:tc>
          <w:tcPr>
            <w:tcW w:w="9078" w:type="dxa"/>
            <w:gridSpan w:val="4"/>
            <w:tcBorders>
              <w:top w:val="single" w:color="auto" w:sz="4" w:space="0"/>
              <w:left w:val="single" w:color="auto" w:sz="12" w:space="0"/>
              <w:bottom w:val="single" w:color="auto" w:sz="12" w:space="0"/>
              <w:right w:val="single" w:color="auto" w:sz="12" w:space="0"/>
            </w:tcBorders>
            <w:shd w:val="clear" w:color="auto" w:fill="auto"/>
            <w:vAlign w:val="center"/>
          </w:tcPr>
          <w:p>
            <w:pPr>
              <w:widowControl w:val="0"/>
              <w:autoSpaceDE w:val="0"/>
              <w:autoSpaceDN w:val="0"/>
              <w:spacing w:after="0"/>
              <w:rPr>
                <w:rFonts w:ascii="宋体" w:hAnsi="Times New Roman" w:eastAsia="宋体" w:cs="宋体"/>
                <w:b/>
                <w:color w:val="auto"/>
                <w:kern w:val="2"/>
              </w:rPr>
            </w:pPr>
            <w:r>
              <w:rPr>
                <w:rFonts w:hint="eastAsia" w:ascii="宋体" w:hAnsi="Times New Roman" w:eastAsia="宋体" w:cs="宋体"/>
                <w:b/>
                <w:color w:val="auto"/>
                <w:kern w:val="2"/>
              </w:rPr>
              <w:t>附件：</w:t>
            </w:r>
            <w:r>
              <w:rPr>
                <w:rFonts w:hint="eastAsia" w:ascii="宋体" w:hAnsi="宋体" w:eastAsia="宋体" w:cs="宋体"/>
                <w:b/>
                <w:color w:val="auto"/>
                <w:kern w:val="2"/>
              </w:rPr>
              <w:t>一般纳税人资格认定税务通知书或其他可证明具有该项资格证明文件的复印件。（加盖公章）</w:t>
            </w:r>
          </w:p>
        </w:tc>
      </w:tr>
    </w:tbl>
    <w:p>
      <w:pPr>
        <w:widowControl w:val="0"/>
        <w:autoSpaceDE w:val="0"/>
        <w:autoSpaceDN w:val="0"/>
        <w:spacing w:after="0" w:line="360" w:lineRule="auto"/>
        <w:ind w:firstLine="420" w:firstLineChars="200"/>
        <w:rPr>
          <w:rFonts w:ascii="宋体" w:hAnsi="Times New Roman" w:eastAsia="宋体" w:cs="宋体"/>
          <w:color w:val="auto"/>
        </w:rPr>
      </w:pPr>
      <w:r>
        <w:rPr>
          <w:rFonts w:hint="eastAsia" w:ascii="宋体" w:hAnsi="Times New Roman" w:eastAsia="宋体" w:cs="宋体"/>
          <w:color w:val="auto"/>
          <w:sz w:val="21"/>
          <w:szCs w:val="21"/>
        </w:rPr>
        <w:t>磋商当日，如我公司未按该要求填写、未提供有效的开票资料、未确认开具发票类型或确认的发票类型有误，则视为开具增值税普通发票。同意广州公信招标有限公司不予更换发票类型。并愿承担由此引起的一切后果。</w:t>
      </w:r>
    </w:p>
    <w:p>
      <w:pPr>
        <w:widowControl w:val="0"/>
        <w:autoSpaceDE w:val="0"/>
        <w:autoSpaceDN w:val="0"/>
        <w:spacing w:after="0" w:line="360" w:lineRule="auto"/>
        <w:ind w:firstLine="440" w:firstLineChars="200"/>
        <w:rPr>
          <w:rFonts w:ascii="宋体" w:hAnsi="Times New Roman" w:eastAsia="宋体" w:cs="宋体"/>
          <w:color w:val="auto"/>
        </w:rPr>
      </w:pPr>
    </w:p>
    <w:p>
      <w:pPr>
        <w:widowControl w:val="0"/>
        <w:autoSpaceDE w:val="0"/>
        <w:autoSpaceDN w:val="0"/>
        <w:spacing w:after="0" w:line="520" w:lineRule="exact"/>
        <w:ind w:left="780" w:firstLine="5172" w:firstLineChars="2463"/>
        <w:rPr>
          <w:rFonts w:ascii="宋体" w:hAnsi="Times New Roman" w:eastAsia="宋体" w:cs="宋体"/>
          <w:color w:val="auto"/>
        </w:rPr>
      </w:pPr>
      <w:r>
        <w:rPr>
          <w:rFonts w:hint="eastAsia" w:ascii="宋体" w:hAnsi="Times New Roman" w:eastAsia="宋体" w:cs="宋体"/>
          <w:color w:val="auto"/>
          <w:sz w:val="21"/>
          <w:szCs w:val="21"/>
        </w:rPr>
        <w:t>供应商名称(盖公章)：</w:t>
      </w:r>
      <w:r>
        <w:rPr>
          <w:rFonts w:hint="eastAsia" w:ascii="宋体" w:hAnsi="宋体" w:eastAsia="宋体" w:cs="宋体"/>
          <w:color w:val="auto"/>
          <w:sz w:val="21"/>
          <w:szCs w:val="21"/>
          <w:u w:val="single"/>
        </w:rPr>
        <w:t xml:space="preserve">       </w:t>
      </w:r>
    </w:p>
    <w:p>
      <w:pPr>
        <w:widowControl w:val="0"/>
        <w:autoSpaceDE w:val="0"/>
        <w:autoSpaceDN w:val="0"/>
        <w:spacing w:after="0" w:line="520" w:lineRule="exact"/>
        <w:ind w:left="780" w:firstLine="5172" w:firstLineChars="2463"/>
        <w:rPr>
          <w:rFonts w:ascii="宋体" w:hAnsi="宋体" w:eastAsia="宋体" w:cs="宋体"/>
          <w:color w:val="auto"/>
        </w:rPr>
      </w:pPr>
      <w:r>
        <w:rPr>
          <w:rFonts w:hint="eastAsia" w:ascii="宋体" w:hAnsi="Times New Roman" w:eastAsia="宋体" w:cs="宋体"/>
          <w:color w:val="auto"/>
          <w:sz w:val="21"/>
          <w:szCs w:val="21"/>
        </w:rPr>
        <w:t>供应商地址：</w:t>
      </w:r>
      <w:r>
        <w:rPr>
          <w:rFonts w:hint="eastAsia" w:ascii="宋体" w:hAnsi="宋体" w:eastAsia="宋体" w:cs="宋体"/>
          <w:color w:val="auto"/>
          <w:sz w:val="21"/>
          <w:szCs w:val="21"/>
          <w:u w:val="single"/>
        </w:rPr>
        <w:t xml:space="preserve">       </w:t>
      </w:r>
    </w:p>
    <w:p>
      <w:pPr>
        <w:spacing w:line="360" w:lineRule="auto"/>
        <w:rPr>
          <w:rFonts w:ascii="Arial" w:hAnsi="Arial" w:eastAsia="黑体" w:cs="Times New Roman"/>
          <w:bCs/>
          <w:color w:val="auto"/>
          <w:sz w:val="32"/>
          <w:szCs w:val="32"/>
        </w:rPr>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pPr>
    </w:p>
    <w:bookmarkEnd w:id="128"/>
    <w:bookmarkEnd w:id="129"/>
    <w:bookmarkEnd w:id="130"/>
    <w:bookmarkEnd w:id="131"/>
    <w:bookmarkEnd w:id="132"/>
    <w:bookmarkEnd w:id="133"/>
    <w:p>
      <w:pPr>
        <w:pStyle w:val="19"/>
        <w:widowControl/>
        <w:rPr>
          <w:b w:val="0"/>
          <w:color w:val="auto"/>
          <w:sz w:val="28"/>
          <w:szCs w:val="28"/>
        </w:rPr>
      </w:pPr>
      <w:bookmarkStart w:id="134" w:name="_Toc15256"/>
      <w:r>
        <w:rPr>
          <w:rFonts w:hint="eastAsia" w:cs="宋体"/>
          <w:color w:val="auto"/>
        </w:rPr>
        <w:t>第七章</w:t>
      </w:r>
      <w:r>
        <w:rPr>
          <w:color w:val="auto"/>
        </w:rPr>
        <w:t xml:space="preserve">  </w:t>
      </w:r>
      <w:r>
        <w:rPr>
          <w:rFonts w:hint="eastAsia" w:cs="宋体"/>
          <w:color w:val="auto"/>
        </w:rPr>
        <w:t>磋</w:t>
      </w:r>
      <w:r>
        <w:rPr>
          <w:color w:val="auto"/>
        </w:rPr>
        <w:t xml:space="preserve"> </w:t>
      </w:r>
      <w:r>
        <w:rPr>
          <w:rFonts w:hint="eastAsia" w:cs="宋体"/>
          <w:color w:val="auto"/>
        </w:rPr>
        <w:t>商</w:t>
      </w:r>
      <w:r>
        <w:rPr>
          <w:color w:val="auto"/>
        </w:rPr>
        <w:t xml:space="preserve"> </w:t>
      </w:r>
      <w:r>
        <w:rPr>
          <w:rFonts w:hint="eastAsia" w:cs="宋体"/>
          <w:color w:val="auto"/>
        </w:rPr>
        <w:t>须</w:t>
      </w:r>
      <w:r>
        <w:rPr>
          <w:color w:val="auto"/>
        </w:rPr>
        <w:t xml:space="preserve"> </w:t>
      </w:r>
      <w:r>
        <w:rPr>
          <w:rFonts w:hint="eastAsia" w:cs="宋体"/>
          <w:color w:val="auto"/>
        </w:rPr>
        <w:t>知</w:t>
      </w:r>
      <w:bookmarkEnd w:id="134"/>
    </w:p>
    <w:p>
      <w:pPr>
        <w:widowControl w:val="0"/>
        <w:autoSpaceDE w:val="0"/>
        <w:autoSpaceDN w:val="0"/>
        <w:spacing w:after="0" w:line="360" w:lineRule="auto"/>
        <w:jc w:val="center"/>
        <w:outlineLvl w:val="1"/>
        <w:rPr>
          <w:rFonts w:ascii="宋体" w:hAnsi="宋体" w:eastAsia="宋体" w:cs="宋体"/>
          <w:b/>
          <w:color w:val="auto"/>
          <w:sz w:val="28"/>
          <w:szCs w:val="28"/>
        </w:rPr>
      </w:pPr>
      <w:bookmarkStart w:id="135" w:name="_Toc416771321"/>
      <w:bookmarkStart w:id="136" w:name="_Toc416770211"/>
      <w:bookmarkStart w:id="137" w:name="_Toc410736132"/>
      <w:bookmarkStart w:id="138" w:name="_Toc293674590"/>
      <w:bookmarkStart w:id="139" w:name="_Toc410738932"/>
      <w:r>
        <w:rPr>
          <w:rFonts w:hint="eastAsia" w:ascii="宋体" w:hAnsi="宋体" w:eastAsia="宋体" w:cs="宋体"/>
          <w:b/>
          <w:color w:val="auto"/>
          <w:sz w:val="28"/>
          <w:szCs w:val="28"/>
        </w:rPr>
        <w:t>一、说 明</w:t>
      </w:r>
      <w:bookmarkEnd w:id="135"/>
      <w:bookmarkEnd w:id="136"/>
      <w:bookmarkEnd w:id="137"/>
      <w:bookmarkEnd w:id="138"/>
      <w:bookmarkEnd w:id="139"/>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40" w:name="_Toc416770212"/>
      <w:bookmarkStart w:id="141" w:name="_Toc410736133"/>
      <w:bookmarkStart w:id="142" w:name="_Toc410738933"/>
      <w:bookmarkStart w:id="143" w:name="_Toc416771322"/>
      <w:r>
        <w:rPr>
          <w:rFonts w:hint="eastAsia" w:ascii="宋体" w:hAnsi="宋体" w:eastAsia="宋体" w:cs="宋体"/>
          <w:b/>
          <w:color w:val="auto"/>
          <w:sz w:val="21"/>
          <w:szCs w:val="21"/>
        </w:rPr>
        <w:t>适用范围</w:t>
      </w:r>
      <w:bookmarkEnd w:id="140"/>
      <w:bookmarkEnd w:id="141"/>
      <w:bookmarkEnd w:id="142"/>
      <w:bookmarkEnd w:id="143"/>
    </w:p>
    <w:p>
      <w:pPr>
        <w:widowControl w:val="0"/>
        <w:numPr>
          <w:ilvl w:val="1"/>
          <w:numId w:val="60"/>
        </w:numPr>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本竞争性磋商文件适用于本磋商邀请中所述项目的政府采购。</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44" w:name="_Toc416771323"/>
      <w:bookmarkStart w:id="145" w:name="_Toc416770213"/>
      <w:bookmarkStart w:id="146" w:name="_Toc410738934"/>
      <w:bookmarkStart w:id="147" w:name="_Toc410736134"/>
      <w:r>
        <w:rPr>
          <w:rFonts w:hint="eastAsia" w:ascii="宋体" w:hAnsi="宋体" w:eastAsia="宋体" w:cs="宋体"/>
          <w:b/>
          <w:color w:val="auto"/>
          <w:sz w:val="21"/>
          <w:szCs w:val="21"/>
        </w:rPr>
        <w:t>政府采购监督管理部门</w:t>
      </w:r>
      <w:r>
        <w:rPr>
          <w:rFonts w:hint="eastAsia" w:ascii="宋体" w:hAnsi="宋体" w:eastAsia="宋体" w:cs="宋体"/>
          <w:b/>
          <w:bCs/>
          <w:color w:val="auto"/>
          <w:sz w:val="21"/>
          <w:szCs w:val="21"/>
        </w:rPr>
        <w:t>及</w:t>
      </w:r>
      <w:bookmarkEnd w:id="144"/>
      <w:bookmarkEnd w:id="145"/>
      <w:bookmarkEnd w:id="146"/>
      <w:bookmarkEnd w:id="147"/>
      <w:r>
        <w:rPr>
          <w:rFonts w:hint="eastAsia" w:ascii="宋体" w:hAnsi="宋体" w:eastAsia="宋体" w:cs="宋体"/>
          <w:b/>
          <w:color w:val="auto"/>
          <w:sz w:val="21"/>
          <w:szCs w:val="21"/>
        </w:rPr>
        <w:t>采购人、采购代理机构</w:t>
      </w:r>
    </w:p>
    <w:p>
      <w:pPr>
        <w:widowControl w:val="0"/>
        <w:numPr>
          <w:ilvl w:val="1"/>
          <w:numId w:val="60"/>
        </w:numPr>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政府采购监督管理部门指</w:t>
      </w:r>
      <w:r>
        <w:rPr>
          <w:rFonts w:hint="eastAsia" w:ascii="宋体" w:hAnsi="宋体" w:eastAsia="宋体" w:cs="宋体"/>
          <w:color w:val="auto"/>
          <w:sz w:val="21"/>
          <w:szCs w:val="21"/>
          <w:lang w:eastAsia="zh-TW"/>
        </w:rPr>
        <w:t>同级人民政府财政部门</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采购人指依法进行政府采购的国家机关、事业单位和团体组织。</w:t>
      </w:r>
      <w:r>
        <w:rPr>
          <w:rFonts w:hint="eastAsia" w:ascii="宋体" w:hAnsi="宋体" w:eastAsia="宋体" w:cs="宋体"/>
          <w:color w:val="auto"/>
          <w:sz w:val="21"/>
          <w:szCs w:val="21"/>
          <w:lang w:eastAsia="zh-TW"/>
        </w:rPr>
        <w:t>本竞争性磋商文件第</w:t>
      </w:r>
      <w:r>
        <w:rPr>
          <w:rFonts w:hint="eastAsia" w:ascii="宋体" w:hAnsi="宋体" w:eastAsia="宋体" w:cs="宋体"/>
          <w:color w:val="auto"/>
          <w:sz w:val="21"/>
          <w:szCs w:val="21"/>
        </w:rPr>
        <w:t>二</w:t>
      </w:r>
      <w:r>
        <w:rPr>
          <w:rFonts w:hint="eastAsia" w:ascii="宋体" w:hAnsi="宋体" w:eastAsia="宋体" w:cs="宋体"/>
          <w:color w:val="auto"/>
          <w:sz w:val="21"/>
          <w:szCs w:val="21"/>
          <w:lang w:eastAsia="zh-TW"/>
        </w:rPr>
        <w:t>章</w:t>
      </w:r>
      <w:r>
        <w:rPr>
          <w:rFonts w:hint="eastAsia" w:ascii="宋体" w:hAnsi="宋体" w:eastAsia="宋体" w:cs="黑体"/>
          <w:b/>
          <w:color w:val="auto"/>
          <w:sz w:val="21"/>
          <w:szCs w:val="21"/>
          <w:lang w:eastAsia="zh-TW"/>
        </w:rPr>
        <w:t>磋商资料表</w:t>
      </w:r>
      <w:r>
        <w:rPr>
          <w:rFonts w:hint="eastAsia" w:ascii="宋体" w:hAnsi="宋体" w:eastAsia="宋体" w:cs="宋体"/>
          <w:color w:val="auto"/>
          <w:sz w:val="21"/>
          <w:szCs w:val="21"/>
          <w:lang w:eastAsia="zh-TW"/>
        </w:rPr>
        <w:t>中所述的采购人已拥有一笔</w:t>
      </w:r>
      <w:r>
        <w:rPr>
          <w:rFonts w:hint="eastAsia" w:ascii="宋体" w:hAnsi="宋体" w:eastAsia="宋体" w:cs="宋体"/>
          <w:color w:val="auto"/>
          <w:sz w:val="21"/>
          <w:szCs w:val="21"/>
        </w:rPr>
        <w:t>财政性</w:t>
      </w:r>
      <w:r>
        <w:rPr>
          <w:rFonts w:hint="eastAsia" w:ascii="宋体" w:hAnsi="宋体" w:eastAsia="宋体" w:cs="宋体"/>
          <w:color w:val="auto"/>
          <w:sz w:val="21"/>
          <w:szCs w:val="21"/>
          <w:lang w:eastAsia="zh-TW"/>
        </w:rPr>
        <w:t>资金</w:t>
      </w:r>
      <w:r>
        <w:rPr>
          <w:rFonts w:hint="eastAsia" w:ascii="宋体" w:hAnsi="宋体" w:eastAsia="宋体" w:cs="宋体"/>
          <w:color w:val="auto"/>
          <w:sz w:val="21"/>
          <w:szCs w:val="21"/>
        </w:rPr>
        <w:t>或资金来源已落实</w:t>
      </w:r>
      <w:r>
        <w:rPr>
          <w:rFonts w:hint="eastAsia" w:ascii="宋体" w:hAnsi="宋体" w:eastAsia="宋体" w:cs="宋体"/>
          <w:color w:val="auto"/>
          <w:sz w:val="21"/>
          <w:szCs w:val="21"/>
          <w:lang w:eastAsia="zh-TW"/>
        </w:rPr>
        <w:t>。采购人计划将一部分</w:t>
      </w:r>
      <w:r>
        <w:rPr>
          <w:rFonts w:hint="eastAsia" w:ascii="宋体" w:hAnsi="宋体" w:eastAsia="宋体" w:cs="宋体"/>
          <w:color w:val="auto"/>
          <w:sz w:val="21"/>
          <w:szCs w:val="21"/>
        </w:rPr>
        <w:t>或全部</w:t>
      </w:r>
      <w:r>
        <w:rPr>
          <w:rFonts w:hint="eastAsia" w:ascii="宋体" w:hAnsi="宋体" w:eastAsia="宋体" w:cs="宋体"/>
          <w:color w:val="auto"/>
          <w:sz w:val="21"/>
          <w:szCs w:val="21"/>
          <w:lang w:eastAsia="zh-TW"/>
        </w:rPr>
        <w:t>资金用于支付本次</w:t>
      </w:r>
      <w:r>
        <w:rPr>
          <w:rFonts w:hint="eastAsia" w:ascii="宋体" w:hAnsi="宋体" w:eastAsia="宋体" w:cs="宋体"/>
          <w:color w:val="auto"/>
          <w:sz w:val="21"/>
          <w:szCs w:val="21"/>
        </w:rPr>
        <w:t>采购</w:t>
      </w:r>
      <w:r>
        <w:rPr>
          <w:rFonts w:hint="eastAsia" w:ascii="宋体" w:hAnsi="宋体" w:eastAsia="宋体" w:cs="宋体"/>
          <w:color w:val="auto"/>
          <w:sz w:val="21"/>
          <w:szCs w:val="21"/>
          <w:lang w:eastAsia="zh-TW"/>
        </w:rPr>
        <w:t>后所签订合同项下的款项</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rPr>
      </w:pPr>
      <w:bookmarkStart w:id="148" w:name="_Toc410738935"/>
      <w:bookmarkStart w:id="149" w:name="_Toc410736135"/>
      <w:r>
        <w:rPr>
          <w:rFonts w:hint="eastAsia" w:ascii="宋体" w:hAnsi="宋体" w:eastAsia="宋体" w:cs="宋体"/>
          <w:color w:val="auto"/>
          <w:sz w:val="21"/>
          <w:szCs w:val="21"/>
        </w:rPr>
        <w:t>采购代理机构指按照规定办理注册登记并通过审核的代理机构。本次采购的采购代理机构名称、地址、电话等联系方式详见</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50" w:name="_Toc416770214"/>
      <w:bookmarkStart w:id="151" w:name="_Toc416771324"/>
      <w:r>
        <w:rPr>
          <w:rFonts w:hint="eastAsia" w:ascii="宋体" w:hAnsi="宋体" w:eastAsia="宋体" w:cs="宋体"/>
          <w:b/>
          <w:color w:val="auto"/>
          <w:sz w:val="21"/>
          <w:szCs w:val="21"/>
        </w:rPr>
        <w:t>关于响应供应商</w:t>
      </w:r>
      <w:bookmarkEnd w:id="148"/>
      <w:bookmarkEnd w:id="149"/>
      <w:r>
        <w:rPr>
          <w:rFonts w:hint="eastAsia" w:ascii="宋体" w:hAnsi="宋体" w:eastAsia="宋体" w:cs="宋体"/>
          <w:b/>
          <w:color w:val="auto"/>
          <w:sz w:val="21"/>
          <w:szCs w:val="21"/>
        </w:rPr>
        <w:t>及成交供应商</w:t>
      </w:r>
      <w:bookmarkEnd w:id="150"/>
      <w:bookmarkEnd w:id="151"/>
    </w:p>
    <w:p>
      <w:pPr>
        <w:widowControl w:val="0"/>
        <w:numPr>
          <w:ilvl w:val="1"/>
          <w:numId w:val="60"/>
        </w:numPr>
        <w:autoSpaceDE w:val="0"/>
        <w:autoSpaceDN w:val="0"/>
        <w:spacing w:after="0" w:line="360" w:lineRule="auto"/>
        <w:rPr>
          <w:rFonts w:ascii="宋体" w:hAnsi="宋体" w:eastAsia="宋体" w:cs="宋体"/>
          <w:color w:val="auto"/>
          <w:lang w:eastAsia="zh-TW"/>
        </w:rPr>
      </w:pPr>
      <w:r>
        <w:rPr>
          <w:rFonts w:hint="eastAsia" w:ascii="宋体" w:hAnsi="宋体" w:eastAsia="宋体" w:cs="宋体"/>
          <w:color w:val="auto"/>
          <w:sz w:val="21"/>
          <w:szCs w:val="21"/>
        </w:rPr>
        <w:t>响应供应商是响应磋商并且符合竞争性磋商文件规定资格条件和参加磋商竞争的法人、其他组织或者自然人。</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成交供应商是指经法定程序确定并授予合同的响应供应商。</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52" w:name="_Toc381027664"/>
      <w:bookmarkStart w:id="153" w:name="_Toc416770215"/>
      <w:bookmarkStart w:id="154" w:name="_Toc416771325"/>
      <w:r>
        <w:rPr>
          <w:rFonts w:hint="eastAsia" w:ascii="宋体" w:hAnsi="宋体" w:eastAsia="宋体" w:cs="宋体"/>
          <w:b/>
          <w:color w:val="auto"/>
          <w:sz w:val="21"/>
          <w:szCs w:val="21"/>
        </w:rPr>
        <w:t>合格的货物和服务</w:t>
      </w:r>
      <w:bookmarkEnd w:id="152"/>
      <w:bookmarkEnd w:id="153"/>
      <w:bookmarkEnd w:id="154"/>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 xml:space="preserve"> “货物”是指响应供应商制造或组织符合竞争性磋商文件要求的货物等。投标的货物必须是其合法生产、合法来源的符合国家有关标准要求的货物，并满足竞争性磋商文件规定的规格、参数、质量、价格、有效期、售后服务等要求。</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 xml:space="preserve"> “服务”是指响应供应商按竞争性磋商文件规定完成的全部服务内容，其中包括完成服务所需的货物，及须承担的技术支持、培训和其它伴随服务。</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政府采购应当采购本国产品，确需采购进口产品（是指通过中国海关报关验放进入中国境内且产自关境外的产品）的，</w:t>
      </w:r>
      <w:bookmarkStart w:id="155" w:name="_Toc211763038"/>
      <w:r>
        <w:rPr>
          <w:rFonts w:hint="eastAsia" w:ascii="宋体" w:hAnsi="宋体" w:eastAsia="宋体" w:cs="宋体"/>
          <w:color w:val="auto"/>
          <w:sz w:val="21"/>
          <w:szCs w:val="21"/>
        </w:rPr>
        <w:t>应当获得财政部门核准。本项目依据《政府采购进口产品管理办法</w:t>
      </w:r>
      <w:bookmarkEnd w:id="155"/>
      <w:r>
        <w:rPr>
          <w:rFonts w:hint="eastAsia" w:ascii="宋体" w:hAnsi="宋体" w:eastAsia="宋体" w:cs="宋体"/>
          <w:color w:val="auto"/>
          <w:sz w:val="21"/>
          <w:szCs w:val="21"/>
        </w:rPr>
        <w:t>》优先采购向我国企业转让技术、与我国企业签订消化吸收再创新方案的供应商的进口产品。</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若所投产品属于政府强制采购节能产品的，则响应供应商必须提供该产品国家强制性节能产品进行响应，并提供强制性节能产品认证证书，否则视为无效响应。</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响应供应商提供的所有货物或服务，其质量、技术等特征必须符合国家、行业现行法律、法规的相关标准和《中华人民共和国政府采购法》的有关规定。</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采购人有权拒绝接受任何不合格的服务，由此产生的费用及相关后果均由供应商自行承担。</w:t>
      </w:r>
    </w:p>
    <w:p>
      <w:pPr>
        <w:widowControl w:val="0"/>
        <w:numPr>
          <w:ilvl w:val="1"/>
          <w:numId w:val="60"/>
        </w:numPr>
        <w:tabs>
          <w:tab w:val="left" w:pos="567"/>
          <w:tab w:val="clear" w:pos="360"/>
        </w:tabs>
        <w:autoSpaceDE w:val="0"/>
        <w:autoSpaceDN w:val="0"/>
        <w:spacing w:after="0" w:line="360" w:lineRule="auto"/>
        <w:ind w:left="567" w:hanging="567"/>
        <w:jc w:val="both"/>
        <w:rPr>
          <w:rFonts w:ascii="宋体" w:hAnsi="宋体" w:eastAsia="宋体" w:cs="宋体"/>
          <w:color w:val="auto"/>
        </w:rPr>
      </w:pPr>
      <w:r>
        <w:rPr>
          <w:rFonts w:hint="eastAsia" w:ascii="宋体" w:hAnsi="宋体" w:eastAsia="宋体" w:cs="宋体"/>
          <w:color w:val="auto"/>
          <w:sz w:val="21"/>
          <w:szCs w:val="21"/>
        </w:rPr>
        <w:t>响应供应商应保证本项目的服务或其任何一部分不会产生因第三方提出侵犯其专利权、商标权或其他知识产权而引起的法律和经济纠纷；如果响应供应商不拥有相应的知识产权，则须在报价中包括合法获取该知识产权的相关费用，并在响应文件中附有相关证明文件。如因第三方提出其专利权、商标权或其他知识产权的侵权之诉，则一切法律责任由响应供应商承担。</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56" w:name="_Toc416770216"/>
      <w:bookmarkStart w:id="157" w:name="_Toc410738937"/>
      <w:bookmarkStart w:id="158" w:name="_Toc416771326"/>
      <w:bookmarkStart w:id="159" w:name="_Toc410736137"/>
      <w:r>
        <w:rPr>
          <w:rFonts w:hint="eastAsia" w:ascii="宋体" w:hAnsi="宋体" w:eastAsia="宋体" w:cs="宋体"/>
          <w:b/>
          <w:color w:val="auto"/>
          <w:sz w:val="21"/>
          <w:szCs w:val="21"/>
        </w:rPr>
        <w:t>投标费用</w:t>
      </w:r>
      <w:bookmarkEnd w:id="156"/>
      <w:bookmarkEnd w:id="157"/>
      <w:bookmarkEnd w:id="158"/>
      <w:bookmarkEnd w:id="159"/>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响应供应商应承担所有与准备和参加磋商有关的费用</w:t>
      </w:r>
      <w:r>
        <w:rPr>
          <w:rFonts w:hint="eastAsia" w:ascii="宋体" w:hAnsi="宋体" w:eastAsia="宋体" w:cs="宋体"/>
          <w:color w:val="auto"/>
          <w:sz w:val="21"/>
          <w:szCs w:val="21"/>
          <w:lang w:eastAsia="zh-TW"/>
        </w:rPr>
        <w:t>。不论磋商的结果如何</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采购人均无义务和责任承担这些费用</w:t>
      </w:r>
      <w:r>
        <w:rPr>
          <w:rFonts w:hint="eastAsia" w:ascii="宋体" w:hAnsi="宋体" w:eastAsia="宋体" w:cs="宋体"/>
          <w:color w:val="auto"/>
          <w:sz w:val="21"/>
          <w:szCs w:val="21"/>
        </w:rPr>
        <w:t>。</w:t>
      </w:r>
      <w:bookmarkStart w:id="160" w:name="_Toc315793298"/>
    </w:p>
    <w:bookmarkEnd w:id="160"/>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r>
        <w:rPr>
          <w:rFonts w:hint="eastAsia" w:ascii="宋体" w:hAnsi="宋体" w:eastAsia="宋体" w:cs="宋体"/>
          <w:b/>
          <w:color w:val="auto"/>
          <w:sz w:val="21"/>
          <w:szCs w:val="21"/>
        </w:rPr>
        <w:t>其他</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所有时间均为24小时制北京时间，所有货币单位均为人民币元，所使用的计量单位均以《中华人民共和国法定计量单位》为准（特别注明除外）</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供应商（响应供应商）向我司咨询的有关项目事项，一切以法律法规的规定和本公司书面答复为准，其他一切形式均为个人意见，不代表本公司的意见。</w:t>
      </w:r>
    </w:p>
    <w:p>
      <w:pPr>
        <w:widowControl w:val="0"/>
        <w:numPr>
          <w:ilvl w:val="1"/>
          <w:numId w:val="60"/>
        </w:numPr>
        <w:tabs>
          <w:tab w:val="left" w:pos="426"/>
          <w:tab w:val="clear" w:pos="360"/>
        </w:tabs>
        <w:autoSpaceDE w:val="0"/>
        <w:autoSpaceDN w:val="0"/>
        <w:spacing w:after="0" w:line="360" w:lineRule="auto"/>
        <w:ind w:left="426" w:hanging="426"/>
        <w:rPr>
          <w:rFonts w:ascii="宋体" w:hAnsi="宋体" w:eastAsia="宋体" w:cs="宋体"/>
          <w:color w:val="auto"/>
        </w:rPr>
      </w:pPr>
      <w:r>
        <w:rPr>
          <w:rFonts w:hint="eastAsia" w:ascii="宋体" w:hAnsi="宋体" w:eastAsia="宋体" w:cs="宋体"/>
          <w:color w:val="auto"/>
          <w:sz w:val="21"/>
          <w:szCs w:val="21"/>
        </w:rPr>
        <w:t>成交供应商应按照竞争性磋商文件</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中的规定缴纳招标代理服务费。否则，将不予退还其磋商保证金。</w:t>
      </w:r>
    </w:p>
    <w:p>
      <w:pPr>
        <w:widowControl w:val="0"/>
        <w:numPr>
          <w:ilvl w:val="1"/>
          <w:numId w:val="60"/>
        </w:numPr>
        <w:tabs>
          <w:tab w:val="left" w:pos="426"/>
          <w:tab w:val="clear" w:pos="360"/>
        </w:tabs>
        <w:autoSpaceDE w:val="0"/>
        <w:autoSpaceDN w:val="0"/>
        <w:spacing w:after="0" w:line="360" w:lineRule="auto"/>
        <w:ind w:left="426" w:hanging="426"/>
        <w:rPr>
          <w:rFonts w:ascii="宋体" w:hAnsi="宋体" w:eastAsia="宋体" w:cs="宋体"/>
          <w:color w:val="auto"/>
          <w:sz w:val="21"/>
          <w:szCs w:val="21"/>
          <w:lang w:eastAsia="zh-TW"/>
        </w:rPr>
      </w:pPr>
      <w:r>
        <w:rPr>
          <w:rFonts w:hint="eastAsia" w:ascii="宋体" w:hAnsi="宋体" w:eastAsia="宋体" w:cs="宋体"/>
          <w:color w:val="auto"/>
          <w:sz w:val="21"/>
          <w:szCs w:val="21"/>
        </w:rPr>
        <w:t>经依法被认定成交无效的，采购代理服务费不予退还。</w:t>
      </w:r>
    </w:p>
    <w:p>
      <w:pPr>
        <w:widowControl w:val="0"/>
        <w:autoSpaceDE w:val="0"/>
        <w:autoSpaceDN w:val="0"/>
        <w:spacing w:after="0" w:line="360" w:lineRule="auto"/>
        <w:jc w:val="center"/>
        <w:outlineLvl w:val="1"/>
        <w:rPr>
          <w:rFonts w:ascii="宋体" w:hAnsi="宋体" w:eastAsia="宋体" w:cs="宋体"/>
          <w:b/>
          <w:color w:val="auto"/>
          <w:sz w:val="28"/>
          <w:szCs w:val="28"/>
          <w:lang w:eastAsia="zh-TW"/>
        </w:rPr>
      </w:pPr>
      <w:bookmarkStart w:id="161" w:name="_Toc416770217"/>
      <w:bookmarkStart w:id="162" w:name="_Toc410736139"/>
      <w:bookmarkStart w:id="163" w:name="_Toc410738939"/>
      <w:bookmarkStart w:id="164" w:name="_Toc416771327"/>
      <w:r>
        <w:rPr>
          <w:rFonts w:hint="eastAsia" w:ascii="宋体" w:hAnsi="宋体" w:eastAsia="宋体" w:cs="宋体"/>
          <w:b/>
          <w:color w:val="auto"/>
          <w:sz w:val="28"/>
          <w:szCs w:val="28"/>
          <w:lang w:eastAsia="zh-TW"/>
        </w:rPr>
        <w:t>二、</w:t>
      </w:r>
      <w:r>
        <w:rPr>
          <w:rFonts w:hint="eastAsia" w:ascii="宋体" w:hAnsi="宋体" w:eastAsia="宋体" w:cs="宋体"/>
          <w:b/>
          <w:color w:val="auto"/>
          <w:sz w:val="28"/>
          <w:szCs w:val="28"/>
        </w:rPr>
        <w:t>竞争性磋商文件</w:t>
      </w:r>
      <w:bookmarkEnd w:id="161"/>
      <w:bookmarkEnd w:id="162"/>
      <w:bookmarkEnd w:id="163"/>
      <w:bookmarkEnd w:id="164"/>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65" w:name="_Toc410736140"/>
      <w:bookmarkStart w:id="166" w:name="_Toc410738940"/>
      <w:bookmarkStart w:id="167" w:name="_Toc416771328"/>
      <w:bookmarkStart w:id="168" w:name="_Toc416770218"/>
      <w:r>
        <w:rPr>
          <w:rFonts w:hint="eastAsia" w:ascii="宋体" w:hAnsi="宋体" w:eastAsia="宋体" w:cs="宋体"/>
          <w:b/>
          <w:color w:val="auto"/>
          <w:sz w:val="21"/>
          <w:szCs w:val="21"/>
        </w:rPr>
        <w:t>竞争性磋商文件的编制依据与构成</w:t>
      </w:r>
      <w:bookmarkEnd w:id="165"/>
      <w:bookmarkEnd w:id="166"/>
      <w:bookmarkEnd w:id="167"/>
      <w:bookmarkEnd w:id="168"/>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本竞争性磋商文件的编制依据《中华人民共和国政府采购法》及其实施条例、《政府采购竞争性磋商采购方式管理暂行办法》及其配套的法规、规章、政策。</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rPr>
        <w:t>要求提供的货物或服务</w:t>
      </w:r>
      <w:r>
        <w:rPr>
          <w:rFonts w:hint="eastAsia" w:ascii="宋体" w:hAnsi="宋体" w:eastAsia="宋体" w:cs="宋体"/>
          <w:color w:val="auto"/>
          <w:sz w:val="21"/>
          <w:szCs w:val="21"/>
          <w:lang w:eastAsia="zh-TW"/>
        </w:rPr>
        <w:t>、</w:t>
      </w:r>
      <w:r>
        <w:rPr>
          <w:rFonts w:hint="eastAsia" w:ascii="宋体" w:hAnsi="宋体" w:eastAsia="宋体" w:cs="宋体"/>
          <w:color w:val="auto"/>
          <w:sz w:val="21"/>
          <w:szCs w:val="21"/>
        </w:rPr>
        <w:t>采购</w:t>
      </w:r>
      <w:r>
        <w:rPr>
          <w:rFonts w:hint="eastAsia" w:ascii="宋体" w:hAnsi="宋体" w:eastAsia="宋体" w:cs="宋体"/>
          <w:color w:val="auto"/>
          <w:sz w:val="21"/>
          <w:szCs w:val="21"/>
          <w:lang w:eastAsia="zh-TW"/>
        </w:rPr>
        <w:t>过程和合同条件在竞争性磋商文件中均有说明。竞争性磋商文件以中文文字编写。竞争性磋商文件共</w:t>
      </w:r>
      <w:r>
        <w:rPr>
          <w:rFonts w:hint="eastAsia" w:ascii="宋体" w:hAnsi="宋体" w:eastAsia="宋体" w:cs="宋体"/>
          <w:color w:val="auto"/>
          <w:sz w:val="21"/>
          <w:szCs w:val="21"/>
        </w:rPr>
        <w:t>七</w:t>
      </w:r>
      <w:r>
        <w:rPr>
          <w:rFonts w:hint="eastAsia" w:ascii="宋体" w:hAnsi="宋体" w:eastAsia="宋体" w:cs="宋体"/>
          <w:color w:val="auto"/>
          <w:sz w:val="21"/>
          <w:szCs w:val="21"/>
          <w:lang w:eastAsia="zh-TW"/>
        </w:rPr>
        <w:t>章</w:t>
      </w:r>
      <w:r>
        <w:rPr>
          <w:rFonts w:hint="eastAsia" w:ascii="宋体" w:hAnsi="宋体" w:eastAsia="宋体" w:cs="宋体"/>
          <w:color w:val="auto"/>
          <w:sz w:val="21"/>
          <w:szCs w:val="21"/>
        </w:rPr>
        <w:t>，由下列文件以及在采购过程中发出的澄清、修改和补充文件组成，</w:t>
      </w:r>
      <w:r>
        <w:rPr>
          <w:rFonts w:hint="eastAsia" w:ascii="宋体" w:hAnsi="宋体" w:eastAsia="宋体" w:cs="宋体"/>
          <w:color w:val="auto"/>
          <w:sz w:val="21"/>
          <w:szCs w:val="21"/>
          <w:lang w:eastAsia="zh-TW"/>
        </w:rPr>
        <w:t>内容如下</w:t>
      </w:r>
      <w:r>
        <w:rPr>
          <w:rFonts w:hint="eastAsia" w:ascii="宋体" w:hAnsi="宋体" w:eastAsia="宋体" w:cs="宋体"/>
          <w:color w:val="auto"/>
          <w:sz w:val="21"/>
          <w:szCs w:val="21"/>
        </w:rPr>
        <w:t>：</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 xml:space="preserve">第一章 </w:t>
      </w:r>
      <w:r>
        <w:rPr>
          <w:rFonts w:hint="eastAsia" w:ascii="宋体" w:hAnsi="宋体" w:eastAsia="宋体" w:cs="宋体"/>
          <w:color w:val="auto"/>
          <w:sz w:val="21"/>
          <w:szCs w:val="21"/>
          <w:lang w:eastAsia="zh-TW"/>
        </w:rPr>
        <w:t>磋商邀请</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 xml:space="preserve">第二章 </w:t>
      </w:r>
      <w:r>
        <w:rPr>
          <w:rFonts w:hint="eastAsia" w:ascii="宋体" w:hAnsi="宋体" w:eastAsia="宋体" w:cs="宋体"/>
          <w:color w:val="auto"/>
          <w:sz w:val="21"/>
          <w:szCs w:val="21"/>
          <w:lang w:eastAsia="zh-TW"/>
        </w:rPr>
        <w:t>磋商资料表</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 xml:space="preserve">第三章 </w:t>
      </w:r>
      <w:r>
        <w:rPr>
          <w:rFonts w:hint="eastAsia" w:ascii="宋体" w:hAnsi="宋体" w:eastAsia="宋体" w:cs="宋体"/>
          <w:color w:val="auto"/>
          <w:sz w:val="21"/>
          <w:szCs w:val="21"/>
          <w:lang w:eastAsia="zh-TW"/>
        </w:rPr>
        <w:t>评分体系与标准</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 xml:space="preserve">第四章 </w:t>
      </w:r>
      <w:r>
        <w:rPr>
          <w:rFonts w:hint="eastAsia" w:ascii="宋体" w:hAnsi="宋体" w:eastAsia="宋体" w:cs="宋体"/>
          <w:color w:val="auto"/>
          <w:sz w:val="21"/>
          <w:szCs w:val="21"/>
          <w:lang w:eastAsia="zh-TW"/>
        </w:rPr>
        <w:t>用户需求书</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 xml:space="preserve">第五章 </w:t>
      </w:r>
      <w:r>
        <w:rPr>
          <w:rFonts w:hint="eastAsia" w:ascii="宋体" w:hAnsi="宋体" w:eastAsia="宋体" w:cs="宋体"/>
          <w:color w:val="auto"/>
          <w:sz w:val="21"/>
          <w:szCs w:val="21"/>
          <w:lang w:eastAsia="zh-TW"/>
        </w:rPr>
        <w:t>合同</w:t>
      </w:r>
      <w:r>
        <w:rPr>
          <w:rFonts w:hint="eastAsia" w:ascii="宋体" w:hAnsi="宋体" w:eastAsia="宋体" w:cs="宋体"/>
          <w:color w:val="auto"/>
          <w:sz w:val="21"/>
          <w:szCs w:val="21"/>
        </w:rPr>
        <w:t>文本</w:t>
      </w:r>
    </w:p>
    <w:p>
      <w:pPr>
        <w:widowControl w:val="0"/>
        <w:autoSpaceDE w:val="0"/>
        <w:autoSpaceDN w:val="0"/>
        <w:spacing w:after="0" w:line="360" w:lineRule="auto"/>
        <w:ind w:firstLine="495" w:firstLineChars="236"/>
        <w:rPr>
          <w:rFonts w:ascii="宋体" w:hAnsi="宋体" w:eastAsia="宋体" w:cs="宋体"/>
          <w:color w:val="auto"/>
          <w:lang w:eastAsia="zh-TW"/>
        </w:rPr>
      </w:pPr>
      <w:r>
        <w:rPr>
          <w:rFonts w:hint="eastAsia" w:ascii="宋体" w:hAnsi="宋体" w:eastAsia="宋体" w:cs="宋体"/>
          <w:color w:val="auto"/>
          <w:sz w:val="21"/>
          <w:szCs w:val="21"/>
          <w:lang w:eastAsia="zh-TW"/>
        </w:rPr>
        <w:t xml:space="preserve">第六章 </w:t>
      </w:r>
      <w:r>
        <w:rPr>
          <w:rFonts w:hint="eastAsia" w:ascii="宋体" w:hAnsi="宋体" w:eastAsia="宋体" w:cs="宋体"/>
          <w:color w:val="auto"/>
          <w:sz w:val="21"/>
          <w:szCs w:val="21"/>
        </w:rPr>
        <w:t>响应文件格式</w:t>
      </w:r>
    </w:p>
    <w:p>
      <w:pPr>
        <w:widowControl w:val="0"/>
        <w:autoSpaceDE w:val="0"/>
        <w:autoSpaceDN w:val="0"/>
        <w:spacing w:after="0" w:line="360" w:lineRule="auto"/>
        <w:ind w:firstLine="495" w:firstLineChars="236"/>
        <w:rPr>
          <w:rFonts w:ascii="宋体" w:hAnsi="宋体" w:eastAsia="宋体" w:cs="宋体"/>
          <w:color w:val="auto"/>
        </w:rPr>
      </w:pPr>
      <w:r>
        <w:rPr>
          <w:rFonts w:hint="eastAsia" w:ascii="宋体" w:hAnsi="宋体" w:eastAsia="宋体" w:cs="宋体"/>
          <w:color w:val="auto"/>
          <w:sz w:val="21"/>
          <w:szCs w:val="21"/>
        </w:rPr>
        <w:t>第七章 磋商</w:t>
      </w:r>
      <w:r>
        <w:rPr>
          <w:rFonts w:hint="eastAsia" w:ascii="宋体" w:hAnsi="宋体" w:eastAsia="宋体" w:cs="宋体"/>
          <w:color w:val="auto"/>
          <w:sz w:val="21"/>
          <w:szCs w:val="21"/>
          <w:lang w:eastAsia="zh-TW"/>
        </w:rPr>
        <w:t>须知</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lang w:eastAsia="zh-TW"/>
        </w:rPr>
        <w:t>响应供应商应认真阅读</w:t>
      </w:r>
      <w:r>
        <w:rPr>
          <w:rFonts w:hint="eastAsia" w:ascii="宋体" w:hAnsi="宋体" w:eastAsia="宋体" w:cs="宋体"/>
          <w:color w:val="auto"/>
          <w:sz w:val="21"/>
          <w:szCs w:val="21"/>
        </w:rPr>
        <w:t>、并充分理解竞争性磋商文件的全部内容（包括所有的补充、修改内容、重要事项、格式、条款和技术规范、参数及要求等）。响应供应商没有按照竞争性磋商文件要求提交全部资料，或者响应文件没有对竞争性磋商文件在各方面都作出实质性响应是响应供应商的风险，有可能导致其磋商响应被拒绝，或被认定为无效响应或被确定为响应无效。</w:t>
      </w:r>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lang w:eastAsia="zh-TW"/>
        </w:rPr>
      </w:pPr>
      <w:r>
        <w:rPr>
          <w:rFonts w:hint="eastAsia" w:ascii="宋体" w:hAnsi="宋体" w:eastAsia="宋体" w:cs="宋体"/>
          <w:color w:val="auto"/>
          <w:sz w:val="21"/>
          <w:szCs w:val="21"/>
          <w:lang w:eastAsia="zh-TW"/>
        </w:rPr>
        <w:t>本竞争性磋商文件的解释权归“广州公信招标有限公司”所有。</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69" w:name="_Toc410736141"/>
      <w:bookmarkStart w:id="170" w:name="_Toc410738941"/>
      <w:bookmarkStart w:id="171" w:name="_Toc416770219"/>
      <w:bookmarkStart w:id="172" w:name="_Toc416771329"/>
      <w:r>
        <w:rPr>
          <w:rFonts w:hint="eastAsia" w:ascii="宋体" w:hAnsi="宋体" w:eastAsia="宋体" w:cs="宋体"/>
          <w:b/>
          <w:color w:val="auto"/>
          <w:sz w:val="21"/>
          <w:szCs w:val="21"/>
        </w:rPr>
        <w:t>竞争性磋商文件的澄清</w:t>
      </w:r>
      <w:bookmarkEnd w:id="169"/>
      <w:bookmarkEnd w:id="170"/>
      <w:r>
        <w:rPr>
          <w:rFonts w:hint="eastAsia" w:ascii="宋体" w:hAnsi="宋体" w:eastAsia="宋体" w:cs="宋体"/>
          <w:b/>
          <w:color w:val="auto"/>
          <w:sz w:val="21"/>
          <w:szCs w:val="21"/>
        </w:rPr>
        <w:t>及修改</w:t>
      </w:r>
      <w:bookmarkEnd w:id="171"/>
      <w:bookmarkEnd w:id="172"/>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rPr>
        <w:t>采购人</w:t>
      </w:r>
      <w:r>
        <w:rPr>
          <w:rFonts w:hint="eastAsia" w:ascii="宋体" w:hAnsi="宋体" w:eastAsia="宋体" w:cs="宋体"/>
          <w:color w:val="auto"/>
          <w:sz w:val="21"/>
          <w:szCs w:val="21"/>
          <w:lang w:eastAsia="zh-TW"/>
        </w:rPr>
        <w:t>可以主动地或在解答响应供应商提出的疑问时对已发出的竞争性磋商文件进行必要的澄清或修改</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澄清或者修改应当在原公告发布媒体上发布澄清</w:t>
      </w:r>
      <w:r>
        <w:rPr>
          <w:rFonts w:hint="eastAsia" w:ascii="宋体" w:hAnsi="宋体" w:eastAsia="宋体" w:cs="宋体"/>
          <w:color w:val="auto"/>
          <w:sz w:val="21"/>
          <w:szCs w:val="21"/>
        </w:rPr>
        <w:t>（更正/变更）</w:t>
      </w:r>
      <w:r>
        <w:rPr>
          <w:rFonts w:hint="eastAsia" w:ascii="宋体" w:hAnsi="宋体" w:eastAsia="宋体" w:cs="宋体"/>
          <w:color w:val="auto"/>
          <w:sz w:val="21"/>
          <w:szCs w:val="21"/>
          <w:lang w:eastAsia="zh-TW"/>
        </w:rPr>
        <w:t>公告</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采购人或者采购代理机构将澄清（更正/变更）公告</w:t>
      </w:r>
      <w:r>
        <w:rPr>
          <w:rFonts w:hint="eastAsia" w:ascii="宋体" w:hAnsi="宋体" w:eastAsia="宋体" w:cs="宋体"/>
          <w:color w:val="auto"/>
          <w:sz w:val="21"/>
          <w:szCs w:val="21"/>
        </w:rPr>
        <w:t>书面</w:t>
      </w:r>
      <w:r>
        <w:rPr>
          <w:rFonts w:hint="eastAsia" w:ascii="宋体" w:hAnsi="宋体" w:eastAsia="宋体" w:cs="宋体"/>
          <w:color w:val="auto"/>
          <w:sz w:val="21"/>
          <w:szCs w:val="21"/>
          <w:lang w:eastAsia="zh-TW"/>
        </w:rPr>
        <w:t>通知</w:t>
      </w:r>
      <w:r>
        <w:rPr>
          <w:rFonts w:hint="eastAsia" w:ascii="Times New Roman" w:hAnsi="Times New Roman" w:eastAsia="宋体" w:cs="宋体"/>
          <w:bCs/>
          <w:color w:val="auto"/>
          <w:sz w:val="21"/>
          <w:szCs w:val="21"/>
        </w:rPr>
        <w:t>已成功办理采购文件获取登记</w:t>
      </w:r>
      <w:r>
        <w:rPr>
          <w:rFonts w:hint="eastAsia" w:ascii="宋体" w:hAnsi="宋体" w:eastAsia="宋体" w:cs="宋体"/>
          <w:color w:val="auto"/>
          <w:sz w:val="21"/>
          <w:szCs w:val="21"/>
        </w:rPr>
        <w:t>的供应商。</w:t>
      </w:r>
      <w:r>
        <w:rPr>
          <w:rFonts w:hint="eastAsia" w:ascii="宋体" w:hAnsi="宋体" w:eastAsia="宋体" w:cs="宋体"/>
          <w:color w:val="auto"/>
          <w:sz w:val="21"/>
          <w:szCs w:val="21"/>
          <w:lang w:eastAsia="zh-TW"/>
        </w:rPr>
        <w:t>其供应商在收到澄清或修改（更正/变更）通知后应按要求以书面形式（传真或电子邮件）予以确认。如在24小时之内无书面确认则视为</w:t>
      </w:r>
      <w:r>
        <w:rPr>
          <w:rFonts w:hint="eastAsia" w:ascii="宋体" w:hAnsi="宋体" w:eastAsia="宋体" w:cs="宋体"/>
          <w:color w:val="auto"/>
          <w:sz w:val="21"/>
          <w:szCs w:val="21"/>
        </w:rPr>
        <w:t>收到</w:t>
      </w:r>
      <w:r>
        <w:rPr>
          <w:rFonts w:hint="eastAsia" w:ascii="宋体" w:hAnsi="宋体" w:eastAsia="宋体" w:cs="宋体"/>
          <w:color w:val="auto"/>
          <w:sz w:val="21"/>
          <w:szCs w:val="21"/>
          <w:lang w:eastAsia="zh-TW"/>
        </w:rPr>
        <w:t>澄清（更正/变更）公告，并有责任履行相应的义务</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采购人</w:t>
      </w:r>
      <w:r>
        <w:rPr>
          <w:rFonts w:hint="eastAsia" w:ascii="宋体" w:hAnsi="宋体" w:eastAsia="宋体" w:cs="宋体"/>
          <w:color w:val="auto"/>
          <w:sz w:val="21"/>
          <w:szCs w:val="21"/>
        </w:rPr>
        <w:t>发出的澄清或修改（更正）的内容为竞争性磋商文件的组成部分，</w:t>
      </w:r>
      <w:r>
        <w:rPr>
          <w:rFonts w:hint="eastAsia" w:ascii="宋体" w:hAnsi="宋体" w:eastAsia="宋体" w:cs="宋体"/>
          <w:color w:val="auto"/>
          <w:sz w:val="21"/>
          <w:szCs w:val="21"/>
          <w:lang w:eastAsia="zh-TW"/>
        </w:rPr>
        <w:t>并对潜在响应供应商具有约束力</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lang w:eastAsia="zh-TW"/>
        </w:rPr>
        <w:t>响应供应商在规定的时间内未对竞争性磋商文件澄清或提出疑问的</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采购人将视其为无异议。对竞争性磋商文件中描述有歧意或前后不一致的地方，</w:t>
      </w: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有权进行评判，但对同一条款的评判应适用于每个响应供应商。</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73" w:name="_Toc434343657"/>
      <w:bookmarkStart w:id="174" w:name="_Toc433127757"/>
      <w:r>
        <w:rPr>
          <w:rFonts w:hint="eastAsia" w:ascii="宋体" w:hAnsi="宋体" w:eastAsia="宋体" w:cs="宋体"/>
          <w:b/>
          <w:color w:val="auto"/>
          <w:sz w:val="21"/>
          <w:szCs w:val="21"/>
        </w:rPr>
        <w:t>竞争性磋商文件的答疑或现场考察</w:t>
      </w:r>
      <w:bookmarkEnd w:id="173"/>
      <w:bookmarkEnd w:id="174"/>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rPr>
      </w:pPr>
      <w:r>
        <w:rPr>
          <w:rFonts w:hint="eastAsia" w:ascii="宋体" w:hAnsi="宋体" w:eastAsia="宋体" w:cs="宋体"/>
          <w:color w:val="auto"/>
          <w:sz w:val="21"/>
          <w:szCs w:val="21"/>
          <w:lang w:eastAsia="zh-TW"/>
        </w:rPr>
        <w:t>除非</w:t>
      </w:r>
      <w:r>
        <w:rPr>
          <w:rFonts w:hint="eastAsia" w:ascii="宋体" w:hAnsi="宋体" w:eastAsia="宋体" w:cs="黑体"/>
          <w:b/>
          <w:color w:val="auto"/>
          <w:sz w:val="21"/>
          <w:szCs w:val="21"/>
        </w:rPr>
        <w:t>磋商资料表</w:t>
      </w:r>
      <w:r>
        <w:rPr>
          <w:rFonts w:hint="eastAsia" w:ascii="宋体" w:hAnsi="宋体" w:eastAsia="宋体" w:cs="宋体"/>
          <w:color w:val="auto"/>
          <w:sz w:val="21"/>
          <w:szCs w:val="21"/>
        </w:rPr>
        <w:t>中另有规定，不举行项目现场考察或磋商前答疑会，如举行现场考察或磋商前答疑会的，则按以下规定：</w:t>
      </w:r>
    </w:p>
    <w:p>
      <w:pPr>
        <w:widowControl w:val="0"/>
        <w:numPr>
          <w:ilvl w:val="2"/>
          <w:numId w:val="60"/>
        </w:numPr>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lang w:eastAsia="zh-TW"/>
        </w:rPr>
        <w:t>在</w:t>
      </w:r>
      <w:r>
        <w:rPr>
          <w:rFonts w:hint="eastAsia" w:ascii="宋体" w:hAnsi="宋体" w:eastAsia="宋体" w:cs="黑体"/>
          <w:b/>
          <w:color w:val="auto"/>
          <w:sz w:val="21"/>
          <w:szCs w:val="21"/>
          <w:lang w:eastAsia="zh-TW"/>
        </w:rPr>
        <w:t>磋商资料表</w:t>
      </w:r>
      <w:r>
        <w:rPr>
          <w:rFonts w:hint="eastAsia" w:ascii="宋体" w:hAnsi="宋体" w:eastAsia="宋体" w:cs="宋体"/>
          <w:color w:val="auto"/>
          <w:sz w:val="21"/>
          <w:szCs w:val="21"/>
        </w:rPr>
        <w:t>中规定的日期、时间和地点组织公开答疑会或现场考察；</w:t>
      </w:r>
    </w:p>
    <w:p>
      <w:pPr>
        <w:widowControl w:val="0"/>
        <w:numPr>
          <w:ilvl w:val="2"/>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供应商对本项目提出的疑问，需在答疑会</w:t>
      </w:r>
      <w:r>
        <w:rPr>
          <w:rFonts w:hint="eastAsia" w:ascii="宋体" w:hAnsi="宋体" w:eastAsia="宋体" w:cs="宋体"/>
          <w:color w:val="auto"/>
          <w:sz w:val="21"/>
          <w:szCs w:val="21"/>
        </w:rPr>
        <w:t>或现·场考察</w:t>
      </w:r>
      <w:r>
        <w:rPr>
          <w:rFonts w:hint="eastAsia" w:ascii="宋体" w:hAnsi="宋体" w:eastAsia="宋体" w:cs="宋体"/>
          <w:color w:val="auto"/>
          <w:sz w:val="21"/>
          <w:szCs w:val="21"/>
          <w:lang w:eastAsia="zh-TW"/>
        </w:rPr>
        <w:t>召开日前至少一个工作日将问题清单以书面形式（加盖公章）提交至采购代理机构，供应商代表于上述的时间和地点出席答疑会</w:t>
      </w:r>
      <w:r>
        <w:rPr>
          <w:rFonts w:hint="eastAsia" w:ascii="宋体" w:hAnsi="宋体" w:eastAsia="宋体" w:cs="宋体"/>
          <w:color w:val="auto"/>
          <w:sz w:val="21"/>
          <w:szCs w:val="21"/>
        </w:rPr>
        <w:t>或现场考察</w:t>
      </w:r>
      <w:r>
        <w:rPr>
          <w:rFonts w:hint="eastAsia" w:ascii="宋体" w:hAnsi="宋体" w:eastAsia="宋体" w:cs="宋体"/>
          <w:color w:val="auto"/>
          <w:sz w:val="21"/>
          <w:szCs w:val="21"/>
          <w:lang w:eastAsia="zh-TW"/>
        </w:rPr>
        <w:t>；</w:t>
      </w:r>
    </w:p>
    <w:p>
      <w:pPr>
        <w:widowControl w:val="0"/>
        <w:autoSpaceDE w:val="0"/>
        <w:autoSpaceDN w:val="0"/>
        <w:spacing w:after="0" w:line="360" w:lineRule="auto"/>
        <w:jc w:val="center"/>
        <w:outlineLvl w:val="1"/>
        <w:rPr>
          <w:rFonts w:ascii="宋体" w:hAnsi="宋体" w:eastAsia="宋体" w:cs="宋体"/>
          <w:b/>
          <w:color w:val="auto"/>
          <w:sz w:val="28"/>
          <w:szCs w:val="28"/>
          <w:lang w:eastAsia="zh-TW"/>
        </w:rPr>
      </w:pPr>
      <w:bookmarkStart w:id="175" w:name="_Toc410738943"/>
      <w:bookmarkStart w:id="176" w:name="_Toc416770220"/>
      <w:bookmarkStart w:id="177" w:name="_Toc410736143"/>
      <w:bookmarkStart w:id="178" w:name="_Toc416771330"/>
      <w:r>
        <w:rPr>
          <w:rFonts w:hint="eastAsia" w:ascii="宋体" w:hAnsi="宋体" w:eastAsia="宋体" w:cs="宋体"/>
          <w:b/>
          <w:color w:val="auto"/>
          <w:sz w:val="28"/>
          <w:szCs w:val="28"/>
          <w:lang w:eastAsia="zh-TW"/>
        </w:rPr>
        <w:t>三、</w:t>
      </w:r>
      <w:r>
        <w:rPr>
          <w:rFonts w:hint="eastAsia" w:ascii="宋体" w:hAnsi="宋体" w:eastAsia="宋体" w:cs="宋体"/>
          <w:b/>
          <w:color w:val="auto"/>
          <w:sz w:val="28"/>
          <w:szCs w:val="28"/>
        </w:rPr>
        <w:t>响应文件的编制</w:t>
      </w:r>
      <w:bookmarkEnd w:id="175"/>
      <w:bookmarkEnd w:id="176"/>
      <w:bookmarkEnd w:id="177"/>
      <w:bookmarkEnd w:id="178"/>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79" w:name="_Toc416770221"/>
      <w:bookmarkStart w:id="180" w:name="_Toc416771331"/>
      <w:bookmarkStart w:id="181" w:name="_Toc410736144"/>
      <w:bookmarkStart w:id="182" w:name="_Toc410738944"/>
      <w:r>
        <w:rPr>
          <w:rFonts w:hint="eastAsia" w:ascii="宋体" w:hAnsi="宋体" w:eastAsia="宋体" w:cs="宋体"/>
          <w:b/>
          <w:color w:val="auto"/>
          <w:sz w:val="21"/>
          <w:szCs w:val="21"/>
        </w:rPr>
        <w:t>磋商的语言</w:t>
      </w:r>
      <w:bookmarkEnd w:id="179"/>
      <w:bookmarkEnd w:id="180"/>
      <w:bookmarkEnd w:id="181"/>
      <w:bookmarkEnd w:id="182"/>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黑体"/>
          <w:b/>
          <w:color w:val="auto"/>
        </w:rPr>
      </w:pPr>
      <w:bookmarkStart w:id="183" w:name="_Toc416770222"/>
      <w:bookmarkStart w:id="184" w:name="_Toc416771332"/>
      <w:bookmarkStart w:id="185" w:name="_Toc410738945"/>
      <w:bookmarkStart w:id="186" w:name="_Toc410736145"/>
      <w:r>
        <w:rPr>
          <w:rFonts w:hint="eastAsia" w:ascii="宋体" w:hAnsi="宋体" w:eastAsia="宋体" w:cs="宋体"/>
          <w:color w:val="auto"/>
          <w:sz w:val="21"/>
          <w:szCs w:val="21"/>
          <w:lang w:eastAsia="zh-TW"/>
        </w:rPr>
        <w:t>响应供应商提交的响应文件以及响应供应商与采购人就有关磋商的所有来往函电均</w:t>
      </w:r>
      <w:r>
        <w:rPr>
          <w:rFonts w:hint="eastAsia" w:ascii="宋体" w:hAnsi="宋体" w:eastAsia="宋体" w:cs="宋体"/>
          <w:color w:val="auto"/>
          <w:sz w:val="21"/>
          <w:szCs w:val="21"/>
        </w:rPr>
        <w:t>应</w:t>
      </w:r>
      <w:r>
        <w:rPr>
          <w:rFonts w:hint="eastAsia" w:ascii="宋体" w:hAnsi="宋体" w:eastAsia="宋体" w:cs="宋体"/>
          <w:color w:val="auto"/>
          <w:sz w:val="21"/>
          <w:szCs w:val="21"/>
          <w:lang w:eastAsia="zh-TW"/>
        </w:rPr>
        <w:t>使用中文书写。</w:t>
      </w:r>
      <w:r>
        <w:rPr>
          <w:rFonts w:hint="eastAsia" w:ascii="宋体" w:hAnsi="宋体" w:eastAsia="宋体" w:cs="宋体"/>
          <w:color w:val="auto"/>
          <w:sz w:val="21"/>
          <w:szCs w:val="21"/>
        </w:rPr>
        <w:t>响应供应商</w:t>
      </w:r>
      <w:r>
        <w:rPr>
          <w:rFonts w:hint="eastAsia" w:ascii="宋体" w:hAnsi="宋体" w:eastAsia="宋体" w:cs="宋体"/>
          <w:color w:val="auto"/>
          <w:sz w:val="21"/>
          <w:szCs w:val="21"/>
          <w:lang w:eastAsia="zh-TW"/>
        </w:rPr>
        <w:t>提交的支持文件或印刷的资料可以用另一种语言</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但相应内容应附有中文翻译本</w:t>
      </w:r>
      <w:r>
        <w:rPr>
          <w:rFonts w:hint="eastAsia" w:ascii="宋体" w:hAnsi="宋体" w:eastAsia="宋体" w:cs="宋体"/>
          <w:color w:val="auto"/>
          <w:sz w:val="21"/>
          <w:szCs w:val="21"/>
        </w:rPr>
        <w:t>，由翻译机构盖章或者翻译人员签名。两种语言不一致时以中文翻译本为准。</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r>
        <w:rPr>
          <w:rFonts w:hint="eastAsia" w:ascii="宋体" w:hAnsi="宋体" w:eastAsia="宋体" w:cs="宋体"/>
          <w:b/>
          <w:color w:val="auto"/>
          <w:sz w:val="21"/>
          <w:szCs w:val="21"/>
        </w:rPr>
        <w:t>响应文件的构成</w:t>
      </w:r>
      <w:bookmarkEnd w:id="183"/>
      <w:bookmarkEnd w:id="184"/>
      <w:bookmarkEnd w:id="185"/>
      <w:bookmarkEnd w:id="186"/>
    </w:p>
    <w:p>
      <w:pPr>
        <w:widowControl w:val="0"/>
        <w:numPr>
          <w:ilvl w:val="1"/>
          <w:numId w:val="60"/>
        </w:numPr>
        <w:tabs>
          <w:tab w:val="left" w:pos="567"/>
          <w:tab w:val="clear" w:pos="360"/>
        </w:tabs>
        <w:autoSpaceDE w:val="0"/>
        <w:autoSpaceDN w:val="0"/>
        <w:spacing w:after="0" w:line="360" w:lineRule="auto"/>
        <w:ind w:left="567" w:hanging="567"/>
        <w:rPr>
          <w:rFonts w:ascii="宋体" w:hAnsi="宋体" w:eastAsia="宋体" w:cs="宋体"/>
          <w:color w:val="auto"/>
          <w:lang w:eastAsia="zh-TW"/>
        </w:rPr>
      </w:pPr>
      <w:r>
        <w:rPr>
          <w:rFonts w:hint="eastAsia" w:ascii="宋体" w:hAnsi="宋体" w:eastAsia="宋体" w:cs="宋体"/>
          <w:color w:val="auto"/>
          <w:sz w:val="21"/>
          <w:szCs w:val="21"/>
          <w:lang w:eastAsia="zh-TW"/>
        </w:rPr>
        <w:t>响应供应商编写的响应文件应包括</w:t>
      </w:r>
      <w:r>
        <w:rPr>
          <w:rFonts w:hint="eastAsia" w:ascii="宋体" w:hAnsi="宋体" w:eastAsia="宋体" w:cs="宋体"/>
          <w:color w:val="auto"/>
          <w:sz w:val="21"/>
          <w:szCs w:val="21"/>
        </w:rPr>
        <w:t>初审文件、技术文件、商务文件</w:t>
      </w:r>
      <w:r>
        <w:rPr>
          <w:rFonts w:hint="eastAsia" w:ascii="宋体" w:hAnsi="宋体" w:eastAsia="宋体" w:cs="宋体"/>
          <w:color w:val="auto"/>
          <w:sz w:val="21"/>
          <w:szCs w:val="21"/>
          <w:lang w:eastAsia="zh-TW"/>
        </w:rPr>
        <w:t>，编排顺序参见响应文件格式</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响应文件的构成应符合法律法规及竞争性磋商文件的要求。</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87" w:name="_Toc416771333"/>
      <w:bookmarkStart w:id="188" w:name="_Toc410738946"/>
      <w:bookmarkStart w:id="189" w:name="_Toc410736146"/>
      <w:bookmarkStart w:id="190" w:name="_Toc416770223"/>
      <w:r>
        <w:rPr>
          <w:rFonts w:hint="eastAsia" w:ascii="宋体" w:hAnsi="宋体" w:eastAsia="宋体" w:cs="宋体"/>
          <w:b/>
          <w:color w:val="auto"/>
          <w:sz w:val="21"/>
          <w:szCs w:val="21"/>
        </w:rPr>
        <w:t>响应文件的编写</w:t>
      </w:r>
      <w:bookmarkEnd w:id="187"/>
      <w:bookmarkEnd w:id="188"/>
      <w:bookmarkEnd w:id="189"/>
      <w:bookmarkEnd w:id="190"/>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响应供应商应完整</w:t>
      </w:r>
      <w:r>
        <w:rPr>
          <w:rFonts w:hint="eastAsia" w:ascii="宋体" w:hAnsi="宋体" w:eastAsia="宋体" w:cs="宋体"/>
          <w:color w:val="auto"/>
          <w:sz w:val="21"/>
          <w:szCs w:val="21"/>
        </w:rPr>
        <w:t>、真实、准确</w:t>
      </w:r>
      <w:r>
        <w:rPr>
          <w:rFonts w:hint="eastAsia" w:ascii="宋体" w:hAnsi="宋体" w:eastAsia="宋体" w:cs="宋体"/>
          <w:color w:val="auto"/>
          <w:sz w:val="21"/>
          <w:szCs w:val="21"/>
          <w:lang w:eastAsia="zh-TW"/>
        </w:rPr>
        <w:t>地填写竞争性磋商文件中提供的磋商函、报价表以及竞争性磋商文件中规定的其它</w:t>
      </w:r>
      <w:r>
        <w:rPr>
          <w:rFonts w:hint="eastAsia" w:ascii="宋体" w:hAnsi="宋体" w:eastAsia="宋体" w:cs="宋体"/>
          <w:color w:val="auto"/>
          <w:sz w:val="21"/>
          <w:szCs w:val="21"/>
        </w:rPr>
        <w:t>所有</w:t>
      </w:r>
      <w:r>
        <w:rPr>
          <w:rFonts w:hint="eastAsia" w:ascii="宋体" w:hAnsi="宋体" w:eastAsia="宋体" w:cs="宋体"/>
          <w:color w:val="auto"/>
          <w:sz w:val="21"/>
          <w:szCs w:val="21"/>
          <w:lang w:eastAsia="zh-TW"/>
        </w:rPr>
        <w:t>内容。</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响应供应商对竞争性磋商文件中多个包组进行磋商的，其响应文件的编制</w:t>
      </w:r>
      <w:r>
        <w:rPr>
          <w:rFonts w:hint="eastAsia" w:ascii="宋体" w:hAnsi="宋体" w:eastAsia="宋体" w:cs="宋体"/>
          <w:color w:val="auto"/>
          <w:sz w:val="21"/>
          <w:szCs w:val="21"/>
        </w:rPr>
        <w:t>可按</w:t>
      </w:r>
      <w:r>
        <w:rPr>
          <w:rFonts w:hint="eastAsia" w:ascii="宋体" w:hAnsi="宋体" w:eastAsia="宋体" w:cs="宋体"/>
          <w:color w:val="auto"/>
          <w:sz w:val="21"/>
          <w:szCs w:val="21"/>
          <w:lang w:eastAsia="zh-TW"/>
        </w:rPr>
        <w:t>每个包组的要求分别装订和</w:t>
      </w:r>
      <w:r>
        <w:rPr>
          <w:rFonts w:hint="eastAsia" w:ascii="宋体" w:hAnsi="宋体" w:eastAsia="宋体" w:cs="宋体"/>
          <w:b/>
          <w:color w:val="auto"/>
          <w:sz w:val="21"/>
          <w:szCs w:val="21"/>
        </w:rPr>
        <w:t>密封</w:t>
      </w:r>
      <w:r>
        <w:rPr>
          <w:rFonts w:hint="eastAsia" w:ascii="宋体" w:hAnsi="宋体" w:eastAsia="宋体" w:cs="宋体"/>
          <w:color w:val="auto"/>
          <w:sz w:val="21"/>
          <w:szCs w:val="21"/>
          <w:lang w:eastAsia="zh-TW"/>
        </w:rPr>
        <w:t>。响应供应商应当对响应文件进行装订，对未经装订的响应文件可能发生的文件散落或缺损，由此造成的后果</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TW"/>
        </w:rPr>
        <w:t>责任由响应供应商承担</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响应供应商必须对响应文件所提供的全部资料的真实性承担法律责任，并无条件接受采购人及政府采购监督管理部门等对其中任何资料进行核实的要求。</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如果因为响应供应商</w:t>
      </w:r>
      <w:r>
        <w:rPr>
          <w:rFonts w:hint="eastAsia" w:ascii="宋体" w:hAnsi="宋体" w:eastAsia="宋体" w:cs="宋体"/>
          <w:color w:val="auto"/>
          <w:sz w:val="21"/>
          <w:szCs w:val="21"/>
        </w:rPr>
        <w:t>的响应文件</w:t>
      </w:r>
      <w:r>
        <w:rPr>
          <w:rFonts w:hint="eastAsia" w:ascii="宋体" w:hAnsi="宋体" w:eastAsia="宋体" w:cs="宋体"/>
          <w:color w:val="auto"/>
          <w:sz w:val="21"/>
          <w:szCs w:val="21"/>
          <w:lang w:eastAsia="zh-TW"/>
        </w:rPr>
        <w:t>只填写和提供了本</w:t>
      </w:r>
      <w:r>
        <w:rPr>
          <w:rFonts w:hint="eastAsia" w:ascii="宋体" w:hAnsi="宋体" w:eastAsia="宋体" w:cs="宋体"/>
          <w:color w:val="auto"/>
          <w:sz w:val="21"/>
          <w:szCs w:val="21"/>
        </w:rPr>
        <w:t>竞争性磋商文件</w:t>
      </w:r>
      <w:r>
        <w:rPr>
          <w:rFonts w:hint="eastAsia" w:ascii="宋体" w:hAnsi="宋体" w:eastAsia="宋体" w:cs="宋体"/>
          <w:color w:val="auto"/>
          <w:sz w:val="21"/>
          <w:szCs w:val="21"/>
          <w:lang w:eastAsia="zh-TW"/>
        </w:rPr>
        <w:t>要求的部分内容和附件，或没有提供竞争性磋商文件中所要求的全部资料及数据，而给磋商造成困难的，其可能导致的结果和责任由响应供应商自行承担。</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91" w:name="_Toc416770224"/>
      <w:bookmarkStart w:id="192" w:name="_Toc410736147"/>
      <w:bookmarkStart w:id="193" w:name="_Toc416771334"/>
      <w:bookmarkStart w:id="194" w:name="_Toc410738947"/>
      <w:r>
        <w:rPr>
          <w:rFonts w:hint="eastAsia" w:ascii="宋体" w:hAnsi="宋体" w:eastAsia="宋体" w:cs="宋体"/>
          <w:b/>
          <w:color w:val="auto"/>
          <w:sz w:val="21"/>
          <w:szCs w:val="21"/>
        </w:rPr>
        <w:t>磋商报价</w:t>
      </w:r>
      <w:bookmarkEnd w:id="191"/>
      <w:bookmarkEnd w:id="192"/>
      <w:bookmarkEnd w:id="193"/>
      <w:bookmarkEnd w:id="194"/>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黑体"/>
          <w:b/>
          <w:color w:val="auto"/>
        </w:rPr>
      </w:pPr>
      <w:r>
        <w:rPr>
          <w:rFonts w:hint="eastAsia" w:ascii="宋体" w:hAnsi="宋体" w:eastAsia="宋体" w:cs="宋体"/>
          <w:color w:val="auto"/>
          <w:sz w:val="21"/>
          <w:szCs w:val="21"/>
          <w:lang w:eastAsia="zh-TW"/>
        </w:rPr>
        <w:t>响应供应商应按照“第</w:t>
      </w:r>
      <w:r>
        <w:rPr>
          <w:rFonts w:hint="eastAsia" w:ascii="宋体" w:hAnsi="宋体" w:eastAsia="宋体" w:cs="宋体"/>
          <w:color w:val="auto"/>
          <w:sz w:val="21"/>
          <w:szCs w:val="21"/>
        </w:rPr>
        <w:t>四</w:t>
      </w:r>
      <w:r>
        <w:rPr>
          <w:rFonts w:hint="eastAsia" w:ascii="宋体" w:hAnsi="宋体" w:eastAsia="宋体" w:cs="宋体"/>
          <w:color w:val="auto"/>
          <w:sz w:val="21"/>
          <w:szCs w:val="21"/>
          <w:lang w:eastAsia="zh-TW"/>
        </w:rPr>
        <w:t>章 用户需求书”</w:t>
      </w:r>
      <w:r>
        <w:rPr>
          <w:rFonts w:hint="eastAsia" w:ascii="宋体" w:hAnsi="宋体" w:eastAsia="宋体" w:cs="宋体"/>
          <w:color w:val="auto"/>
          <w:sz w:val="21"/>
          <w:szCs w:val="21"/>
        </w:rPr>
        <w:t>中</w:t>
      </w:r>
      <w:r>
        <w:rPr>
          <w:rFonts w:hint="eastAsia" w:ascii="宋体" w:hAnsi="宋体" w:eastAsia="宋体" w:cs="宋体"/>
          <w:color w:val="auto"/>
          <w:sz w:val="21"/>
          <w:szCs w:val="21"/>
          <w:lang w:eastAsia="zh-TW"/>
        </w:rPr>
        <w:t>采购项目技术或服务要求规定的内容、责任范围进行报价。并按报价表的</w:t>
      </w:r>
      <w:r>
        <w:rPr>
          <w:rFonts w:hint="eastAsia" w:ascii="宋体" w:hAnsi="宋体" w:eastAsia="宋体" w:cs="宋体"/>
          <w:color w:val="auto"/>
          <w:sz w:val="21"/>
          <w:szCs w:val="21"/>
        </w:rPr>
        <w:t>要求</w:t>
      </w:r>
      <w:r>
        <w:rPr>
          <w:rFonts w:hint="eastAsia" w:ascii="宋体" w:hAnsi="宋体" w:eastAsia="宋体" w:cs="宋体"/>
          <w:color w:val="auto"/>
          <w:sz w:val="21"/>
          <w:szCs w:val="21"/>
          <w:lang w:eastAsia="zh-TW"/>
        </w:rPr>
        <w:t>报出价格。</w:t>
      </w:r>
      <w:r>
        <w:rPr>
          <w:rFonts w:hint="eastAsia" w:ascii="宋体" w:hAnsi="宋体" w:eastAsia="宋体" w:cs="宋体"/>
          <w:color w:val="auto"/>
          <w:sz w:val="21"/>
          <w:szCs w:val="21"/>
        </w:rPr>
        <w:t>响应供应商按磋商文件的要求报出全部货物及服务内容所需的所有费用，</w:t>
      </w:r>
      <w:r>
        <w:rPr>
          <w:rFonts w:hint="eastAsia" w:ascii="Times New Roman" w:hAnsi="Times New Roman" w:eastAsia="宋体" w:cs="宋体"/>
          <w:color w:val="auto"/>
          <w:sz w:val="21"/>
          <w:szCs w:val="21"/>
        </w:rPr>
        <w:t>包括但不限于</w:t>
      </w:r>
      <w:r>
        <w:rPr>
          <w:rFonts w:hint="eastAsia" w:ascii="宋体" w:hAnsi="宋体" w:eastAsia="宋体" w:cs="宋体"/>
          <w:b/>
          <w:color w:val="auto"/>
          <w:sz w:val="21"/>
          <w:szCs w:val="21"/>
        </w:rPr>
        <w:t>磋商</w:t>
      </w:r>
      <w:r>
        <w:rPr>
          <w:rFonts w:hint="eastAsia" w:ascii="宋体" w:hAnsi="宋体" w:eastAsia="宋体" w:cs="宋体"/>
          <w:b/>
          <w:color w:val="auto"/>
          <w:sz w:val="21"/>
          <w:szCs w:val="21"/>
          <w:lang w:eastAsia="zh-TW"/>
        </w:rPr>
        <w:t>资料表</w:t>
      </w:r>
      <w:r>
        <w:rPr>
          <w:rFonts w:hint="eastAsia" w:ascii="宋体" w:hAnsi="宋体" w:eastAsia="宋体" w:cs="宋体"/>
          <w:color w:val="auto"/>
          <w:sz w:val="21"/>
          <w:szCs w:val="21"/>
          <w:lang w:eastAsia="zh-TW"/>
        </w:rPr>
        <w:t>中规定的。</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投标分项报价</w:t>
      </w:r>
      <w:r>
        <w:rPr>
          <w:rFonts w:hint="eastAsia" w:ascii="宋体" w:hAnsi="宋体" w:eastAsia="宋体" w:cs="宋体"/>
          <w:color w:val="auto"/>
          <w:sz w:val="21"/>
          <w:szCs w:val="21"/>
        </w:rPr>
        <w:t>应包含：</w:t>
      </w:r>
    </w:p>
    <w:p>
      <w:pPr>
        <w:widowControl w:val="0"/>
        <w:numPr>
          <w:ilvl w:val="2"/>
          <w:numId w:val="60"/>
        </w:numPr>
        <w:tabs>
          <w:tab w:val="left" w:pos="851"/>
        </w:tabs>
        <w:autoSpaceDE w:val="0"/>
        <w:autoSpaceDN w:val="0"/>
        <w:spacing w:after="0" w:line="360" w:lineRule="auto"/>
        <w:rPr>
          <w:rFonts w:ascii="宋体" w:hAnsi="宋体" w:eastAsia="宋体" w:cs="宋体"/>
          <w:color w:val="auto"/>
          <w:lang w:eastAsia="zh-TW"/>
        </w:rPr>
      </w:pPr>
      <w:r>
        <w:rPr>
          <w:rFonts w:hint="eastAsia" w:ascii="宋体" w:hAnsi="宋体" w:eastAsia="宋体" w:cs="宋体"/>
          <w:color w:val="auto"/>
          <w:sz w:val="21"/>
          <w:szCs w:val="21"/>
        </w:rPr>
        <w:t>按磋商文件的要求全部货物及服务内容所需的所有费用，</w:t>
      </w:r>
      <w:r>
        <w:rPr>
          <w:rFonts w:hint="eastAsia" w:ascii="Times New Roman" w:hAnsi="Times New Roman" w:eastAsia="宋体" w:cs="宋体"/>
          <w:color w:val="auto"/>
          <w:sz w:val="21"/>
          <w:szCs w:val="21"/>
        </w:rPr>
        <w:t>包括但不限于项目的</w:t>
      </w:r>
      <w:r>
        <w:rPr>
          <w:rFonts w:hint="eastAsia" w:ascii="宋体" w:hAnsi="宋体" w:eastAsia="宋体" w:cs="宋体"/>
          <w:color w:val="auto"/>
          <w:sz w:val="21"/>
          <w:szCs w:val="21"/>
        </w:rPr>
        <w:t>全部</w:t>
      </w:r>
      <w:r>
        <w:rPr>
          <w:rFonts w:hint="eastAsia" w:ascii="宋体" w:hAnsi="宋体" w:eastAsia="宋体" w:cs="宋体"/>
          <w:color w:val="auto"/>
          <w:sz w:val="21"/>
          <w:szCs w:val="21"/>
          <w:lang w:eastAsia="zh-TW"/>
        </w:rPr>
        <w:t>产品</w:t>
      </w:r>
      <w:r>
        <w:rPr>
          <w:rFonts w:hint="eastAsia" w:ascii="宋体" w:hAnsi="宋体" w:eastAsia="宋体" w:cs="宋体"/>
          <w:color w:val="auto"/>
          <w:sz w:val="21"/>
          <w:szCs w:val="21"/>
        </w:rPr>
        <w:t>价格、服务价格、</w:t>
      </w:r>
      <w:r>
        <w:rPr>
          <w:rFonts w:hint="eastAsia" w:ascii="宋体" w:hAnsi="宋体" w:eastAsia="宋体" w:cs="宋体"/>
          <w:color w:val="auto"/>
          <w:sz w:val="21"/>
          <w:szCs w:val="21"/>
          <w:lang w:eastAsia="zh-TW"/>
        </w:rPr>
        <w:t>应向中华人民共和国政府缴纳的增值税和其它税等全部税费、</w:t>
      </w:r>
      <w:r>
        <w:rPr>
          <w:rFonts w:hint="eastAsia" w:ascii="Times New Roman" w:hAnsi="Times New Roman" w:eastAsia="宋体" w:cs="宋体"/>
          <w:color w:val="auto"/>
          <w:sz w:val="21"/>
          <w:szCs w:val="21"/>
        </w:rPr>
        <w:t>运输、保险、安装、伴随服务、</w:t>
      </w:r>
      <w:r>
        <w:rPr>
          <w:rFonts w:hint="eastAsia" w:ascii="宋体" w:hAnsi="宋体" w:eastAsia="宋体" w:cs="宋体"/>
          <w:color w:val="auto"/>
          <w:sz w:val="21"/>
          <w:szCs w:val="21"/>
          <w:lang w:eastAsia="zh-TW"/>
        </w:rPr>
        <w:t>标准附件价、备品备件及专用工具价(如有)、</w:t>
      </w:r>
      <w:r>
        <w:rPr>
          <w:rFonts w:hint="eastAsia" w:ascii="Times New Roman" w:hAnsi="Times New Roman" w:eastAsia="宋体" w:cs="宋体"/>
          <w:color w:val="auto"/>
          <w:sz w:val="21"/>
          <w:szCs w:val="21"/>
        </w:rPr>
        <w:t>以及</w:t>
      </w:r>
      <w:r>
        <w:rPr>
          <w:rFonts w:hint="eastAsia" w:ascii="宋体" w:hAnsi="宋体" w:eastAsia="宋体" w:cs="宋体"/>
          <w:color w:val="auto"/>
          <w:sz w:val="21"/>
          <w:szCs w:val="21"/>
        </w:rPr>
        <w:t>履行合同所需的费用、</w:t>
      </w:r>
      <w:r>
        <w:rPr>
          <w:rFonts w:hint="eastAsia" w:ascii="Times New Roman" w:hAnsi="Times New Roman" w:eastAsia="宋体" w:cs="宋体"/>
          <w:color w:val="auto"/>
          <w:sz w:val="21"/>
          <w:szCs w:val="21"/>
        </w:rPr>
        <w:t>所有风险、责任等</w:t>
      </w:r>
      <w:r>
        <w:rPr>
          <w:rFonts w:hint="eastAsia" w:ascii="宋体" w:hAnsi="宋体" w:eastAsia="宋体" w:cs="宋体"/>
          <w:color w:val="auto"/>
          <w:sz w:val="21"/>
          <w:szCs w:val="21"/>
        </w:rPr>
        <w:t>其他一切隐含及不可预见的费用</w:t>
      </w:r>
      <w:r>
        <w:rPr>
          <w:rFonts w:hint="eastAsia" w:ascii="Times New Roman" w:hAnsi="Times New Roman" w:eastAsia="宋体" w:cs="宋体"/>
          <w:color w:val="auto"/>
          <w:sz w:val="21"/>
          <w:szCs w:val="21"/>
        </w:rPr>
        <w:t>。如是</w:t>
      </w:r>
      <w:r>
        <w:rPr>
          <w:rFonts w:hint="eastAsia" w:ascii="宋体" w:hAnsi="宋体" w:eastAsia="宋体" w:cs="宋体"/>
          <w:color w:val="auto"/>
          <w:sz w:val="21"/>
          <w:szCs w:val="21"/>
          <w:lang w:eastAsia="zh-TW"/>
        </w:rPr>
        <w:t>提供境外的货物</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还应包括货物从境外进口己缴纳或应缴纳的全部关税、增值税和其它税</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报货物境外离岸价格、国外运输费、国外运输保险费等费用。</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中对进口环节关税和增值税另有规定的，从其规定。</w:t>
      </w:r>
    </w:p>
    <w:p>
      <w:pPr>
        <w:widowControl w:val="0"/>
        <w:numPr>
          <w:ilvl w:val="2"/>
          <w:numId w:val="60"/>
        </w:numPr>
        <w:tabs>
          <w:tab w:val="left" w:pos="851"/>
        </w:tabs>
        <w:autoSpaceDE w:val="0"/>
        <w:autoSpaceDN w:val="0"/>
        <w:spacing w:after="0" w:line="360" w:lineRule="auto"/>
        <w:rPr>
          <w:rFonts w:ascii="宋体" w:hAnsi="宋体" w:eastAsia="宋体" w:cs="宋体"/>
          <w:color w:val="auto"/>
          <w:lang w:eastAsia="zh-TW"/>
        </w:rPr>
      </w:pPr>
      <w:r>
        <w:rPr>
          <w:rFonts w:hint="eastAsia" w:ascii="宋体" w:hAnsi="宋体" w:eastAsia="宋体" w:cs="宋体"/>
          <w:color w:val="auto"/>
          <w:sz w:val="21"/>
          <w:szCs w:val="21"/>
          <w:lang w:eastAsia="zh-TW"/>
        </w:rPr>
        <w:t>对于报价免费的</w:t>
      </w:r>
      <w:r>
        <w:rPr>
          <w:rFonts w:hint="eastAsia" w:ascii="宋体" w:hAnsi="宋体" w:eastAsia="宋体" w:cs="宋体"/>
          <w:color w:val="auto"/>
          <w:sz w:val="21"/>
          <w:szCs w:val="21"/>
        </w:rPr>
        <w:t>内容</w:t>
      </w:r>
      <w:r>
        <w:rPr>
          <w:rFonts w:hint="eastAsia" w:ascii="宋体" w:hAnsi="宋体" w:eastAsia="宋体" w:cs="宋体"/>
          <w:color w:val="auto"/>
          <w:sz w:val="21"/>
          <w:szCs w:val="21"/>
          <w:lang w:eastAsia="zh-TW"/>
        </w:rPr>
        <w:t>须标明“免费”</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除</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中另有规定，</w:t>
      </w:r>
      <w:r>
        <w:rPr>
          <w:rFonts w:hint="eastAsia" w:ascii="宋体" w:hAnsi="宋体" w:eastAsia="宋体" w:cs="宋体"/>
          <w:color w:val="auto"/>
          <w:sz w:val="21"/>
          <w:szCs w:val="21"/>
          <w:lang w:eastAsia="zh-TW"/>
        </w:rPr>
        <w:t>响应供应商所报的磋商价在合同执行过程中是固定不变的</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不得以任何理由予以变更。任何包含价格调整要求的磋商被认为是非实质性响应磋商而予以拒绝。</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除</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中允许有备选方案外，本次磋商不接受选择性报价，否则将被视为无效报价。</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除</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另有规定外，本次磋商不接受具有附加条件的报价，否则将被视为无效报价。</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95" w:name="_Toc410738948"/>
      <w:bookmarkStart w:id="196" w:name="_Toc416770225"/>
      <w:bookmarkStart w:id="197" w:name="_Toc410736148"/>
      <w:bookmarkStart w:id="198" w:name="_Toc416771335"/>
      <w:r>
        <w:rPr>
          <w:rFonts w:hint="eastAsia" w:ascii="宋体" w:hAnsi="宋体" w:eastAsia="宋体" w:cs="宋体"/>
          <w:b/>
          <w:color w:val="auto"/>
          <w:sz w:val="21"/>
          <w:szCs w:val="21"/>
        </w:rPr>
        <w:t>投标货币</w:t>
      </w:r>
      <w:bookmarkEnd w:id="195"/>
      <w:bookmarkEnd w:id="196"/>
      <w:bookmarkEnd w:id="197"/>
      <w:bookmarkEnd w:id="198"/>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 xml:space="preserve">响应供应商所提供的货物或服务均应以人民币报价。 </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199" w:name="_Toc416771336"/>
      <w:bookmarkStart w:id="200" w:name="_Toc416770226"/>
      <w:r>
        <w:rPr>
          <w:rFonts w:hint="eastAsia" w:ascii="宋体" w:hAnsi="宋体" w:eastAsia="宋体" w:cs="宋体"/>
          <w:b/>
          <w:color w:val="auto"/>
          <w:sz w:val="21"/>
          <w:szCs w:val="21"/>
        </w:rPr>
        <w:t>联合体投标</w:t>
      </w:r>
      <w:bookmarkEnd w:id="199"/>
      <w:bookmarkEnd w:id="200"/>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除非</w:t>
      </w:r>
      <w:r>
        <w:rPr>
          <w:rFonts w:hint="eastAsia" w:ascii="宋体" w:hAnsi="宋体" w:eastAsia="宋体" w:cs="宋体"/>
          <w:b/>
          <w:color w:val="auto"/>
          <w:sz w:val="21"/>
          <w:szCs w:val="21"/>
        </w:rPr>
        <w:t>磋商邀请</w:t>
      </w:r>
      <w:r>
        <w:rPr>
          <w:rFonts w:hint="eastAsia" w:ascii="宋体" w:hAnsi="宋体" w:eastAsia="宋体" w:cs="宋体"/>
          <w:color w:val="auto"/>
          <w:sz w:val="21"/>
          <w:szCs w:val="21"/>
        </w:rPr>
        <w:t>中另有规定，不接受联合体投标。如果磋商邀请中规定允许联合体投标的，则必须满足：</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以联合体形式参加投标的，联合体各方均必须符合</w:t>
      </w:r>
      <w:r>
        <w:rPr>
          <w:rFonts w:hint="eastAsia" w:ascii="宋体" w:hAnsi="宋体" w:eastAsia="宋体" w:cs="宋体"/>
          <w:bCs/>
          <w:color w:val="auto"/>
          <w:sz w:val="21"/>
          <w:szCs w:val="20"/>
        </w:rPr>
        <w:t>《中华人民共和国政府采购法》第二十二条第（一）至（六）项规定，对“合格的响应供应商”的特殊条款要求至少有一方符合。</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以联合体形式参加政府采购活动的，联合体各方不得再单独参加或者与其他供应商另外组成联合体参加同一合同项下的政府采购活动。</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联合体投标的，</w:t>
      </w:r>
      <w:r>
        <w:rPr>
          <w:rFonts w:hint="eastAsia" w:ascii="宋体" w:hAnsi="宋体" w:eastAsia="宋体" w:cs="宋体"/>
          <w:color w:val="auto"/>
          <w:sz w:val="21"/>
          <w:szCs w:val="21"/>
          <w:lang w:eastAsia="zh-TW"/>
        </w:rPr>
        <w:t>必须提供各方签订的共同联合体协议</w:t>
      </w:r>
      <w:r>
        <w:rPr>
          <w:rFonts w:hint="eastAsia" w:ascii="宋体" w:hAnsi="宋体" w:eastAsia="宋体" w:cs="宋体"/>
          <w:color w:val="auto"/>
          <w:sz w:val="21"/>
          <w:szCs w:val="21"/>
        </w:rPr>
        <w:t>，明确约定各方承担的工作和相应的责任。联合体各方签订共同联合体协议后，不得再以自己名义单独在同一项目（或包组）中磋商，也不得组成新的联合体参加同一项目（或包组）磋商；</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联合体中有同类资质的响应供应商按照联合体分工承担相同工作的，应当按照资质等级较低的响应供应商确定资质等级。</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联合体投标的，可以由联合体中的一方或者共同提交磋商保证金，以一方名义提交磋商保证金的，对联合体各方均具有约束力。</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联合体成交的，联合体各方应当共同与采购人签订合同。</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01" w:name="_Toc416770227"/>
      <w:bookmarkStart w:id="202" w:name="_Toc410738950"/>
      <w:bookmarkStart w:id="203" w:name="_Toc410736150"/>
      <w:bookmarkStart w:id="204" w:name="_Toc416771337"/>
      <w:r>
        <w:rPr>
          <w:rFonts w:hint="eastAsia" w:ascii="宋体" w:hAnsi="宋体" w:eastAsia="宋体" w:cs="宋体"/>
          <w:b/>
          <w:color w:val="auto"/>
          <w:sz w:val="21"/>
          <w:szCs w:val="21"/>
        </w:rPr>
        <w:t>证明响应供应商合格和资格的文件</w:t>
      </w:r>
      <w:bookmarkEnd w:id="201"/>
      <w:bookmarkEnd w:id="202"/>
      <w:bookmarkEnd w:id="203"/>
      <w:bookmarkEnd w:id="204"/>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响应供应商应提交证明其有资格参加磋商和成交后有能力履行合同的文件，</w:t>
      </w:r>
      <w:r>
        <w:rPr>
          <w:rFonts w:hint="eastAsia" w:ascii="宋体" w:hAnsi="宋体" w:eastAsia="宋体" w:cs="宋体"/>
          <w:color w:val="auto"/>
          <w:sz w:val="21"/>
          <w:szCs w:val="21"/>
          <w:lang w:eastAsia="zh-TW"/>
        </w:rPr>
        <w:t>并作为其响应文件的一部分。如果响应供应商为联合体</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应提交联合体各方的资格证明文件、</w:t>
      </w:r>
      <w:r>
        <w:rPr>
          <w:rFonts w:hint="eastAsia" w:ascii="宋体" w:hAnsi="宋体" w:eastAsia="宋体" w:cs="宋体"/>
          <w:color w:val="auto"/>
          <w:sz w:val="21"/>
          <w:szCs w:val="21"/>
        </w:rPr>
        <w:t>共同联合体协议</w:t>
      </w:r>
      <w:r>
        <w:rPr>
          <w:rFonts w:hint="eastAsia" w:ascii="宋体" w:hAnsi="宋体" w:eastAsia="宋体" w:cs="宋体"/>
          <w:color w:val="auto"/>
          <w:sz w:val="21"/>
          <w:szCs w:val="21"/>
          <w:lang w:eastAsia="zh-TW"/>
        </w:rPr>
        <w:t>并注明主体方</w:t>
      </w:r>
      <w:r>
        <w:rPr>
          <w:rFonts w:hint="eastAsia" w:ascii="宋体" w:hAnsi="宋体" w:eastAsia="宋体" w:cs="宋体"/>
          <w:color w:val="auto"/>
          <w:sz w:val="21"/>
          <w:szCs w:val="21"/>
        </w:rPr>
        <w:t>及各方拟承担的工作和责任。</w:t>
      </w:r>
      <w:r>
        <w:rPr>
          <w:rFonts w:hint="eastAsia" w:ascii="宋体" w:hAnsi="宋体" w:eastAsia="宋体" w:cs="宋体"/>
          <w:color w:val="auto"/>
          <w:sz w:val="21"/>
          <w:szCs w:val="21"/>
          <w:lang w:eastAsia="zh-TW"/>
        </w:rPr>
        <w:t>否则</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将导致其磋商</w:t>
      </w:r>
      <w:r>
        <w:rPr>
          <w:rFonts w:hint="eastAsia" w:ascii="宋体" w:hAnsi="宋体" w:eastAsia="宋体" w:cs="宋体"/>
          <w:color w:val="auto"/>
          <w:sz w:val="21"/>
          <w:szCs w:val="21"/>
        </w:rPr>
        <w:t>报价无效。</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响应供应商提交的资格证明文件应证明其满足本须知</w:t>
      </w:r>
      <w:r>
        <w:rPr>
          <w:rFonts w:hint="eastAsia" w:ascii="宋体" w:hAnsi="宋体" w:eastAsia="宋体" w:cs="宋体"/>
          <w:color w:val="auto"/>
          <w:sz w:val="21"/>
          <w:szCs w:val="21"/>
          <w:lang w:eastAsia="zh-TW"/>
        </w:rPr>
        <w:t>定义的合格</w:t>
      </w:r>
      <w:r>
        <w:rPr>
          <w:rFonts w:hint="eastAsia" w:ascii="宋体" w:hAnsi="宋体" w:eastAsia="宋体" w:cs="宋体"/>
          <w:color w:val="auto"/>
          <w:sz w:val="21"/>
          <w:szCs w:val="21"/>
        </w:rPr>
        <w:t>响应供应商</w:t>
      </w:r>
      <w:r>
        <w:rPr>
          <w:rFonts w:hint="eastAsia" w:ascii="宋体" w:hAnsi="宋体" w:eastAsia="宋体" w:cs="宋体"/>
          <w:color w:val="auto"/>
          <w:sz w:val="21"/>
          <w:szCs w:val="21"/>
          <w:lang w:eastAsia="zh-TW"/>
        </w:rPr>
        <w:t>。</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05" w:name="_Toc416771338"/>
      <w:bookmarkStart w:id="206" w:name="_Toc410738951"/>
      <w:bookmarkStart w:id="207" w:name="_Toc416770228"/>
      <w:bookmarkStart w:id="208" w:name="_Toc410736151"/>
      <w:r>
        <w:rPr>
          <w:rFonts w:hint="eastAsia" w:ascii="宋体" w:hAnsi="宋体" w:eastAsia="宋体" w:cs="宋体"/>
          <w:b/>
          <w:color w:val="auto"/>
          <w:sz w:val="21"/>
          <w:szCs w:val="21"/>
        </w:rPr>
        <w:t>证明货物或服务的合格性和符合竞争性磋商文件规定的文件</w:t>
      </w:r>
      <w:bookmarkEnd w:id="205"/>
      <w:bookmarkEnd w:id="206"/>
      <w:bookmarkEnd w:id="207"/>
      <w:bookmarkEnd w:id="208"/>
    </w:p>
    <w:p>
      <w:pPr>
        <w:widowControl w:val="0"/>
        <w:numPr>
          <w:ilvl w:val="1"/>
          <w:numId w:val="60"/>
        </w:numPr>
        <w:tabs>
          <w:tab w:val="left" w:pos="798"/>
          <w:tab w:val="clear" w:pos="360"/>
        </w:tabs>
        <w:autoSpaceDE w:val="0"/>
        <w:autoSpaceDN w:val="0"/>
        <w:spacing w:after="0" w:line="360" w:lineRule="auto"/>
        <w:ind w:left="798" w:hanging="798"/>
        <w:rPr>
          <w:rFonts w:ascii="宋体" w:hAnsi="宋体" w:eastAsia="宋体" w:cs="黑体"/>
          <w:bCs/>
          <w:color w:val="auto"/>
        </w:rPr>
      </w:pPr>
      <w:r>
        <w:rPr>
          <w:rFonts w:hint="eastAsia" w:ascii="宋体" w:hAnsi="宋体" w:eastAsia="宋体" w:cs="宋体"/>
          <w:color w:val="auto"/>
          <w:sz w:val="21"/>
          <w:szCs w:val="21"/>
          <w:lang w:eastAsia="zh-TW"/>
        </w:rPr>
        <w:t>响应供应商应提交证明文件</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证明其</w:t>
      </w:r>
      <w:r>
        <w:rPr>
          <w:rFonts w:hint="eastAsia" w:ascii="宋体" w:hAnsi="宋体" w:eastAsia="宋体" w:cs="宋体"/>
          <w:color w:val="auto"/>
          <w:sz w:val="21"/>
          <w:szCs w:val="21"/>
        </w:rPr>
        <w:t>磋商</w:t>
      </w:r>
      <w:r>
        <w:rPr>
          <w:rFonts w:hint="eastAsia" w:ascii="宋体" w:hAnsi="宋体" w:eastAsia="宋体" w:cs="宋体"/>
          <w:color w:val="auto"/>
          <w:sz w:val="21"/>
          <w:szCs w:val="21"/>
          <w:lang w:eastAsia="zh-TW"/>
        </w:rPr>
        <w:t>的</w:t>
      </w:r>
      <w:r>
        <w:rPr>
          <w:rFonts w:hint="eastAsia" w:ascii="宋体" w:hAnsi="宋体" w:eastAsia="宋体" w:cs="宋体"/>
          <w:color w:val="auto"/>
          <w:sz w:val="21"/>
          <w:szCs w:val="21"/>
        </w:rPr>
        <w:t>货物或</w:t>
      </w:r>
      <w:r>
        <w:rPr>
          <w:rFonts w:hint="eastAsia" w:ascii="宋体" w:hAnsi="宋体" w:eastAsia="宋体" w:cs="宋体"/>
          <w:color w:val="auto"/>
          <w:sz w:val="21"/>
          <w:szCs w:val="21"/>
          <w:lang w:eastAsia="zh-TW"/>
        </w:rPr>
        <w:t>服务的合格性符合竞争性磋商文件规定。该证明文件作为响应文件的一部分。</w:t>
      </w:r>
    </w:p>
    <w:p>
      <w:pPr>
        <w:widowControl w:val="0"/>
        <w:numPr>
          <w:ilvl w:val="1"/>
          <w:numId w:val="60"/>
        </w:numPr>
        <w:tabs>
          <w:tab w:val="left" w:pos="798"/>
          <w:tab w:val="clear" w:pos="360"/>
        </w:tabs>
        <w:autoSpaceDE w:val="0"/>
        <w:autoSpaceDN w:val="0"/>
        <w:spacing w:after="0" w:line="360" w:lineRule="auto"/>
        <w:ind w:left="798" w:hanging="798"/>
        <w:rPr>
          <w:rFonts w:ascii="宋体" w:hAnsi="宋体" w:eastAsia="宋体" w:cs="黑体"/>
          <w:bCs/>
          <w:color w:val="auto"/>
        </w:rPr>
      </w:pPr>
      <w:r>
        <w:rPr>
          <w:rFonts w:hint="eastAsia" w:ascii="宋体" w:hAnsi="宋体" w:eastAsia="宋体" w:cs="宋体"/>
          <w:color w:val="auto"/>
          <w:sz w:val="21"/>
          <w:szCs w:val="21"/>
          <w:lang w:eastAsia="zh-TW"/>
        </w:rPr>
        <w:t>证明</w:t>
      </w:r>
      <w:r>
        <w:rPr>
          <w:rFonts w:hint="eastAsia" w:ascii="宋体" w:hAnsi="宋体" w:eastAsia="宋体" w:cs="宋体"/>
          <w:color w:val="auto"/>
          <w:sz w:val="21"/>
          <w:szCs w:val="21"/>
        </w:rPr>
        <w:t>货物或</w:t>
      </w:r>
      <w:r>
        <w:rPr>
          <w:rFonts w:hint="eastAsia" w:ascii="宋体" w:hAnsi="宋体" w:eastAsia="宋体" w:cs="宋体"/>
          <w:color w:val="auto"/>
          <w:sz w:val="21"/>
          <w:szCs w:val="21"/>
          <w:lang w:eastAsia="zh-TW"/>
        </w:rPr>
        <w:t>服务与竞争性磋商文件的要求相一致的文件，可以是文字资料、图纸和数据，它包括：</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lang w:eastAsia="zh-TW"/>
        </w:rPr>
        <w:t>货物主要技术指标和性能的详细说明</w:t>
      </w:r>
      <w:r>
        <w:rPr>
          <w:rFonts w:hint="eastAsia" w:ascii="宋体" w:hAnsi="宋体" w:eastAsia="宋体" w:cs="宋体"/>
          <w:color w:val="auto"/>
          <w:sz w:val="21"/>
          <w:szCs w:val="21"/>
        </w:rPr>
        <w:t>；服务</w:t>
      </w:r>
      <w:r>
        <w:rPr>
          <w:rFonts w:hint="eastAsia" w:ascii="宋体" w:hAnsi="宋体" w:eastAsia="宋体" w:cs="宋体"/>
          <w:color w:val="auto"/>
          <w:sz w:val="21"/>
          <w:szCs w:val="21"/>
          <w:lang w:eastAsia="zh-TW"/>
        </w:rPr>
        <w:t>主要</w:t>
      </w:r>
      <w:r>
        <w:rPr>
          <w:rFonts w:hint="eastAsia" w:ascii="宋体" w:hAnsi="宋体" w:eastAsia="宋体" w:cs="宋体"/>
          <w:color w:val="auto"/>
          <w:sz w:val="21"/>
          <w:szCs w:val="21"/>
        </w:rPr>
        <w:t>内容、方案、质量、标准</w:t>
      </w:r>
      <w:r>
        <w:rPr>
          <w:rFonts w:hint="eastAsia" w:ascii="宋体" w:hAnsi="宋体" w:eastAsia="宋体" w:cs="宋体"/>
          <w:color w:val="auto"/>
          <w:sz w:val="21"/>
          <w:szCs w:val="21"/>
          <w:lang w:eastAsia="zh-TW"/>
        </w:rPr>
        <w:t>指标</w:t>
      </w:r>
      <w:r>
        <w:rPr>
          <w:rFonts w:hint="eastAsia" w:ascii="宋体" w:hAnsi="宋体" w:eastAsia="宋体" w:cs="宋体"/>
          <w:color w:val="auto"/>
          <w:sz w:val="21"/>
          <w:szCs w:val="21"/>
        </w:rPr>
        <w:t>等</w:t>
      </w:r>
      <w:r>
        <w:rPr>
          <w:rFonts w:hint="eastAsia" w:ascii="宋体" w:hAnsi="宋体" w:eastAsia="宋体" w:cs="宋体"/>
          <w:color w:val="auto"/>
          <w:sz w:val="21"/>
          <w:szCs w:val="21"/>
          <w:lang w:eastAsia="zh-TW"/>
        </w:rPr>
        <w:t>的详细说明</w:t>
      </w:r>
      <w:r>
        <w:rPr>
          <w:rFonts w:hint="eastAsia" w:ascii="宋体" w:hAnsi="宋体" w:eastAsia="宋体" w:cs="宋体"/>
          <w:color w:val="auto"/>
          <w:sz w:val="21"/>
          <w:szCs w:val="21"/>
        </w:rPr>
        <w:t>；</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lang w:eastAsia="zh-TW"/>
        </w:rPr>
        <w:t>货物正常使用所必须的备件和专用工具清单</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包括备件和专用工具的货源及现行价格</w:t>
      </w:r>
      <w:r>
        <w:rPr>
          <w:rFonts w:hint="eastAsia" w:ascii="宋体" w:hAnsi="宋体" w:eastAsia="宋体" w:cs="宋体"/>
          <w:color w:val="auto"/>
          <w:sz w:val="21"/>
          <w:szCs w:val="21"/>
        </w:rPr>
        <w:t>；（适用货物类项目）</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lang w:eastAsia="zh-TW"/>
        </w:rPr>
        <w:t>对照竞争性磋商文件</w:t>
      </w:r>
      <w:r>
        <w:rPr>
          <w:rFonts w:hint="eastAsia" w:ascii="宋体" w:hAnsi="宋体" w:eastAsia="宋体" w:cs="宋体"/>
          <w:color w:val="auto"/>
          <w:sz w:val="21"/>
          <w:szCs w:val="21"/>
        </w:rPr>
        <w:t>货物或服务内容与要求</w:t>
      </w:r>
      <w:r>
        <w:rPr>
          <w:rFonts w:hint="eastAsia" w:ascii="宋体" w:hAnsi="宋体" w:eastAsia="宋体" w:cs="宋体"/>
          <w:color w:val="auto"/>
          <w:sz w:val="21"/>
          <w:szCs w:val="21"/>
          <w:lang w:eastAsia="zh-TW"/>
        </w:rPr>
        <w:t>，逐条说明所提供</w:t>
      </w:r>
      <w:r>
        <w:rPr>
          <w:rFonts w:hint="eastAsia" w:ascii="宋体" w:hAnsi="宋体" w:eastAsia="宋体" w:cs="宋体"/>
          <w:color w:val="auto"/>
          <w:sz w:val="21"/>
          <w:szCs w:val="21"/>
        </w:rPr>
        <w:t>货物或</w:t>
      </w:r>
      <w:r>
        <w:rPr>
          <w:rFonts w:hint="eastAsia" w:ascii="宋体" w:hAnsi="宋体" w:eastAsia="宋体" w:cs="宋体"/>
          <w:color w:val="auto"/>
          <w:sz w:val="21"/>
          <w:szCs w:val="21"/>
          <w:lang w:eastAsia="zh-TW"/>
        </w:rPr>
        <w:t>服务已对竞争性磋商文件的</w:t>
      </w:r>
      <w:r>
        <w:rPr>
          <w:rFonts w:hint="eastAsia" w:ascii="宋体" w:hAnsi="宋体" w:eastAsia="宋体" w:cs="宋体"/>
          <w:color w:val="auto"/>
          <w:sz w:val="21"/>
          <w:szCs w:val="21"/>
        </w:rPr>
        <w:t>采购内容与要求</w:t>
      </w:r>
      <w:r>
        <w:rPr>
          <w:rFonts w:hint="eastAsia" w:ascii="宋体" w:hAnsi="宋体" w:eastAsia="宋体" w:cs="宋体"/>
          <w:color w:val="auto"/>
          <w:sz w:val="21"/>
          <w:szCs w:val="21"/>
          <w:lang w:eastAsia="zh-TW"/>
        </w:rPr>
        <w:t>作出了实质性的响应</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并申明与</w:t>
      </w:r>
      <w:r>
        <w:rPr>
          <w:rFonts w:hint="eastAsia" w:ascii="宋体" w:hAnsi="宋体" w:eastAsia="宋体" w:cs="宋体"/>
          <w:color w:val="auto"/>
          <w:sz w:val="21"/>
          <w:szCs w:val="21"/>
        </w:rPr>
        <w:t>采购内容与要求</w:t>
      </w:r>
      <w:r>
        <w:rPr>
          <w:rFonts w:hint="eastAsia" w:ascii="宋体" w:hAnsi="宋体" w:eastAsia="宋体" w:cs="宋体"/>
          <w:color w:val="auto"/>
          <w:sz w:val="21"/>
          <w:szCs w:val="21"/>
          <w:lang w:eastAsia="zh-TW"/>
        </w:rPr>
        <w:t>条文的偏差和例外。特别对有具体参数要求的指标</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响应供应商须提供所投</w:t>
      </w:r>
      <w:r>
        <w:rPr>
          <w:rFonts w:hint="eastAsia" w:ascii="宋体" w:hAnsi="宋体" w:eastAsia="宋体" w:cs="宋体"/>
          <w:color w:val="auto"/>
          <w:sz w:val="21"/>
          <w:szCs w:val="21"/>
        </w:rPr>
        <w:t>服务</w:t>
      </w:r>
      <w:r>
        <w:rPr>
          <w:rFonts w:hint="eastAsia" w:ascii="宋体" w:hAnsi="宋体" w:eastAsia="宋体" w:cs="宋体"/>
          <w:color w:val="auto"/>
          <w:sz w:val="21"/>
          <w:szCs w:val="21"/>
          <w:lang w:eastAsia="zh-TW"/>
        </w:rPr>
        <w:t>的具体参数值。</w:t>
      </w:r>
      <w:r>
        <w:rPr>
          <w:rFonts w:hint="eastAsia" w:ascii="宋体" w:hAnsi="宋体" w:eastAsia="宋体" w:cs="宋体"/>
          <w:color w:val="auto"/>
          <w:sz w:val="21"/>
          <w:szCs w:val="21"/>
        </w:rPr>
        <w:t>响应供应商在阐述</w:t>
      </w:r>
      <w:r>
        <w:rPr>
          <w:rFonts w:hint="eastAsia" w:ascii="宋体" w:hAnsi="宋体" w:eastAsia="宋体" w:cs="宋体"/>
          <w:color w:val="auto"/>
          <w:sz w:val="21"/>
          <w:szCs w:val="21"/>
          <w:lang w:eastAsia="zh-TW"/>
        </w:rPr>
        <w:t>时应注意竞争性磋商文件的</w:t>
      </w:r>
      <w:r>
        <w:rPr>
          <w:rFonts w:hint="eastAsia" w:ascii="宋体" w:hAnsi="宋体" w:eastAsia="宋体" w:cs="宋体"/>
          <w:color w:val="auto"/>
          <w:sz w:val="21"/>
          <w:szCs w:val="21"/>
        </w:rPr>
        <w:t>采购内容、要求和</w:t>
      </w:r>
      <w:r>
        <w:rPr>
          <w:rFonts w:hint="eastAsia" w:ascii="宋体" w:hAnsi="宋体" w:eastAsia="宋体" w:cs="宋体"/>
          <w:color w:val="auto"/>
          <w:sz w:val="21"/>
          <w:szCs w:val="21"/>
          <w:lang w:eastAsia="zh-TW"/>
        </w:rPr>
        <w:t>标准</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响应供应商在磋商中要实质上满足或</w:t>
      </w:r>
      <w:r>
        <w:rPr>
          <w:rFonts w:hint="eastAsia" w:ascii="宋体" w:hAnsi="宋体" w:eastAsia="宋体" w:cs="宋体"/>
          <w:color w:val="auto"/>
          <w:sz w:val="21"/>
          <w:szCs w:val="21"/>
        </w:rPr>
        <w:t>优于</w:t>
      </w:r>
      <w:r>
        <w:rPr>
          <w:rFonts w:hint="eastAsia" w:ascii="宋体" w:hAnsi="宋体" w:eastAsia="宋体" w:cs="宋体"/>
          <w:color w:val="auto"/>
          <w:sz w:val="21"/>
          <w:szCs w:val="21"/>
          <w:lang w:eastAsia="zh-TW"/>
        </w:rPr>
        <w:t>竞争性磋商文件的要求。</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09" w:name="_Toc416770229"/>
      <w:bookmarkStart w:id="210" w:name="_Toc416771339"/>
      <w:r>
        <w:rPr>
          <w:rFonts w:hint="eastAsia" w:ascii="宋体" w:hAnsi="宋体" w:eastAsia="宋体" w:cs="宋体"/>
          <w:b/>
          <w:color w:val="auto"/>
          <w:sz w:val="21"/>
          <w:szCs w:val="21"/>
        </w:rPr>
        <w:t>磋商保证金</w:t>
      </w:r>
      <w:bookmarkEnd w:id="209"/>
      <w:bookmarkEnd w:id="210"/>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lang w:eastAsia="zh-TW"/>
        </w:rPr>
      </w:pPr>
      <w:r>
        <w:rPr>
          <w:rFonts w:hint="eastAsia" w:ascii="宋体" w:hAnsi="宋体" w:eastAsia="宋体" w:cs="宋体"/>
          <w:color w:val="auto"/>
          <w:sz w:val="21"/>
          <w:szCs w:val="21"/>
        </w:rPr>
        <w:t>本项目不需要提交磋商保证金</w:t>
      </w:r>
      <w:r>
        <w:rPr>
          <w:rFonts w:hint="eastAsia" w:ascii="宋体" w:hAnsi="宋体" w:eastAsia="宋体" w:cs="宋体"/>
          <w:color w:val="auto"/>
          <w:sz w:val="21"/>
          <w:szCs w:val="21"/>
          <w:lang w:eastAsia="zh-TW"/>
        </w:rPr>
        <w:t>。</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11" w:name="_Toc410738953"/>
      <w:bookmarkStart w:id="212" w:name="_Toc410736153"/>
      <w:bookmarkStart w:id="213" w:name="_Toc416770230"/>
      <w:bookmarkStart w:id="214" w:name="_Toc416771340"/>
      <w:r>
        <w:rPr>
          <w:rFonts w:hint="eastAsia" w:ascii="宋体" w:hAnsi="宋体" w:eastAsia="宋体" w:cs="宋体"/>
          <w:b/>
          <w:color w:val="auto"/>
          <w:sz w:val="21"/>
          <w:szCs w:val="21"/>
        </w:rPr>
        <w:t>磋商有效期</w:t>
      </w:r>
      <w:bookmarkEnd w:id="211"/>
      <w:bookmarkEnd w:id="212"/>
      <w:bookmarkEnd w:id="213"/>
      <w:bookmarkEnd w:id="214"/>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磋商应自</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中规定的响应文件递交截止时间起，</w:t>
      </w:r>
      <w:r>
        <w:rPr>
          <w:rFonts w:hint="eastAsia" w:ascii="宋体" w:hAnsi="宋体" w:eastAsia="宋体" w:cs="宋体"/>
          <w:color w:val="auto"/>
          <w:sz w:val="21"/>
          <w:szCs w:val="21"/>
          <w:lang w:eastAsia="zh-TW"/>
        </w:rPr>
        <w:t>并在</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中所述期限内保持有效。磋商有效期不足的磋商将被视为非实质性响应</w:t>
      </w:r>
      <w:r>
        <w:rPr>
          <w:rFonts w:hint="eastAsia" w:ascii="宋体" w:hAnsi="宋体" w:eastAsia="宋体" w:cs="宋体"/>
          <w:color w:val="auto"/>
          <w:sz w:val="21"/>
          <w:szCs w:val="21"/>
        </w:rPr>
        <w:t>，视为无效响应</w:t>
      </w:r>
      <w:r>
        <w:rPr>
          <w:rFonts w:hint="eastAsia" w:ascii="宋体" w:hAnsi="宋体" w:eastAsia="宋体" w:cs="宋体"/>
          <w:color w:val="auto"/>
          <w:sz w:val="21"/>
          <w:szCs w:val="21"/>
          <w:lang w:eastAsia="zh-TW"/>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特殊情况下</w:t>
      </w:r>
      <w:r>
        <w:rPr>
          <w:rFonts w:hint="eastAsia" w:ascii="宋体" w:hAnsi="宋体" w:eastAsia="宋体" w:cs="宋体"/>
          <w:color w:val="auto"/>
          <w:sz w:val="21"/>
          <w:szCs w:val="21"/>
        </w:rPr>
        <w:t>，在原磋商有效期截止之前，</w:t>
      </w:r>
      <w:r>
        <w:rPr>
          <w:rFonts w:hint="eastAsia" w:ascii="宋体" w:hAnsi="宋体" w:eastAsia="宋体" w:cs="宋体"/>
          <w:color w:val="auto"/>
          <w:sz w:val="21"/>
          <w:szCs w:val="21"/>
          <w:lang w:eastAsia="zh-TW"/>
        </w:rPr>
        <w:t>采购代理机构可要求响应供应商延长磋商有效期。这种要求与答复均应以书面形式提交。响应供应商可拒绝采购代理机构的这种要求</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其</w:t>
      </w:r>
      <w:r>
        <w:rPr>
          <w:rFonts w:hint="eastAsia" w:ascii="宋体" w:hAnsi="宋体" w:eastAsia="宋体" w:cs="宋体"/>
          <w:color w:val="auto"/>
          <w:sz w:val="21"/>
          <w:szCs w:val="21"/>
        </w:rPr>
        <w:t>磋商保证金</w:t>
      </w:r>
      <w:r>
        <w:rPr>
          <w:rFonts w:hint="eastAsia" w:ascii="宋体" w:hAnsi="宋体" w:eastAsia="宋体" w:cs="宋体"/>
          <w:color w:val="auto"/>
          <w:sz w:val="21"/>
          <w:szCs w:val="21"/>
          <w:lang w:eastAsia="zh-TW"/>
        </w:rPr>
        <w:t>将</w:t>
      </w:r>
      <w:r>
        <w:rPr>
          <w:rFonts w:hint="eastAsia" w:ascii="宋体" w:hAnsi="宋体" w:eastAsia="宋体" w:cs="宋体"/>
          <w:color w:val="auto"/>
          <w:sz w:val="21"/>
          <w:szCs w:val="21"/>
        </w:rPr>
        <w:t>予以退还，</w:t>
      </w:r>
      <w:r>
        <w:rPr>
          <w:rFonts w:hint="eastAsia" w:ascii="宋体" w:hAnsi="宋体" w:eastAsia="宋体" w:cs="宋体"/>
          <w:color w:val="auto"/>
          <w:sz w:val="21"/>
          <w:szCs w:val="21"/>
          <w:lang w:eastAsia="zh-TW"/>
        </w:rPr>
        <w:t>但其磋商在原磋商有效期期满后将不再有效。同意延长磋商有效期的响应供应商将不会被要求和允许修正其磋商</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而只会被要求相应地延长其</w:t>
      </w:r>
      <w:r>
        <w:rPr>
          <w:rFonts w:hint="eastAsia" w:ascii="宋体" w:hAnsi="宋体" w:eastAsia="宋体" w:cs="宋体"/>
          <w:color w:val="auto"/>
          <w:sz w:val="21"/>
          <w:szCs w:val="21"/>
        </w:rPr>
        <w:t>磋商保证金</w:t>
      </w:r>
      <w:r>
        <w:rPr>
          <w:rFonts w:hint="eastAsia" w:ascii="宋体" w:hAnsi="宋体" w:eastAsia="宋体" w:cs="宋体"/>
          <w:color w:val="auto"/>
          <w:sz w:val="21"/>
          <w:szCs w:val="21"/>
          <w:lang w:eastAsia="zh-TW"/>
        </w:rPr>
        <w:t>的有效期。在这种情况下</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本须知有关</w:t>
      </w:r>
      <w:r>
        <w:rPr>
          <w:rFonts w:hint="eastAsia" w:ascii="宋体" w:hAnsi="宋体" w:eastAsia="宋体" w:cs="宋体"/>
          <w:color w:val="auto"/>
          <w:sz w:val="21"/>
          <w:szCs w:val="21"/>
        </w:rPr>
        <w:t>磋商保证金</w:t>
      </w:r>
      <w:r>
        <w:rPr>
          <w:rFonts w:hint="eastAsia" w:ascii="宋体" w:hAnsi="宋体" w:eastAsia="宋体" w:cs="宋体"/>
          <w:color w:val="auto"/>
          <w:sz w:val="21"/>
          <w:szCs w:val="21"/>
          <w:lang w:eastAsia="zh-TW"/>
        </w:rPr>
        <w:t>的退还和</w:t>
      </w:r>
      <w:r>
        <w:rPr>
          <w:rFonts w:hint="eastAsia" w:ascii="宋体" w:hAnsi="宋体" w:eastAsia="宋体" w:cs="宋体"/>
          <w:color w:val="auto"/>
          <w:sz w:val="21"/>
          <w:szCs w:val="21"/>
        </w:rPr>
        <w:t>不予退还</w:t>
      </w:r>
      <w:r>
        <w:rPr>
          <w:rFonts w:hint="eastAsia" w:ascii="宋体" w:hAnsi="宋体" w:eastAsia="宋体" w:cs="宋体"/>
          <w:color w:val="auto"/>
          <w:sz w:val="21"/>
          <w:szCs w:val="21"/>
          <w:lang w:eastAsia="zh-TW"/>
        </w:rPr>
        <w:t>的规定将在延长了的有效期内继续有效。</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15" w:name="_Toc416770231"/>
      <w:bookmarkStart w:id="216" w:name="_Toc410738954"/>
      <w:bookmarkStart w:id="217" w:name="_Toc416771341"/>
      <w:bookmarkStart w:id="218" w:name="_Toc410736154"/>
      <w:r>
        <w:rPr>
          <w:rFonts w:hint="eastAsia" w:ascii="宋体" w:hAnsi="宋体" w:eastAsia="宋体" w:cs="宋体"/>
          <w:b/>
          <w:color w:val="auto"/>
          <w:sz w:val="21"/>
          <w:szCs w:val="21"/>
        </w:rPr>
        <w:t>响应文件的式样和签署</w:t>
      </w:r>
      <w:bookmarkEnd w:id="215"/>
      <w:bookmarkEnd w:id="216"/>
      <w:bookmarkEnd w:id="217"/>
      <w:bookmarkEnd w:id="218"/>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响应供应商应准备一份响应文件正本</w:t>
      </w:r>
      <w:r>
        <w:rPr>
          <w:rFonts w:hint="eastAsia" w:ascii="宋体" w:hAnsi="宋体" w:eastAsia="宋体" w:cs="宋体"/>
          <w:color w:val="auto"/>
          <w:sz w:val="21"/>
          <w:szCs w:val="21"/>
        </w:rPr>
        <w:t>、电子文件</w:t>
      </w:r>
      <w:r>
        <w:rPr>
          <w:rFonts w:hint="eastAsia" w:ascii="宋体" w:hAnsi="宋体" w:eastAsia="宋体" w:cs="宋体"/>
          <w:color w:val="auto"/>
          <w:sz w:val="21"/>
          <w:szCs w:val="21"/>
          <w:lang w:eastAsia="zh-TW"/>
        </w:rPr>
        <w:t>和</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中规定数目的副本</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响应文件的副本可采用正本的复印件。每套响应文件须清楚地标明“正本”或</w:t>
      </w:r>
      <w:r>
        <w:rPr>
          <w:rFonts w:hint="eastAsia" w:ascii="宋体" w:hAnsi="宋体" w:eastAsia="宋体" w:cs="宋体"/>
          <w:color w:val="auto"/>
          <w:sz w:val="21"/>
          <w:szCs w:val="21"/>
        </w:rPr>
        <w:t>“副</w:t>
      </w:r>
      <w:r>
        <w:rPr>
          <w:rFonts w:hint="eastAsia" w:ascii="宋体" w:hAnsi="宋体" w:eastAsia="宋体" w:cs="宋体"/>
          <w:color w:val="auto"/>
          <w:sz w:val="21"/>
          <w:szCs w:val="21"/>
          <w:lang w:eastAsia="zh-TW"/>
        </w:rPr>
        <w:t>本</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。若副本与正本不符</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以正本为准。</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响应文件</w:t>
      </w:r>
      <w:r>
        <w:rPr>
          <w:rFonts w:hint="eastAsia" w:ascii="宋体" w:hAnsi="宋体" w:eastAsia="宋体" w:cs="宋体"/>
          <w:color w:val="auto"/>
          <w:sz w:val="21"/>
          <w:szCs w:val="21"/>
        </w:rPr>
        <w:t>的签署</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lang w:eastAsia="zh-TW"/>
        </w:rPr>
      </w:pPr>
      <w:r>
        <w:rPr>
          <w:rFonts w:hint="eastAsia" w:ascii="宋体" w:hAnsi="宋体" w:eastAsia="宋体" w:cs="宋体"/>
          <w:color w:val="auto"/>
          <w:sz w:val="21"/>
          <w:szCs w:val="21"/>
          <w:lang w:eastAsia="zh-TW"/>
        </w:rPr>
        <w:t>响应文件的正本需打印或用不褪色墨水书写</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竞争性磋商文件</w:t>
      </w:r>
      <w:r>
        <w:rPr>
          <w:rFonts w:hint="eastAsia" w:ascii="宋体" w:hAnsi="宋体" w:eastAsia="宋体" w:cs="宋体"/>
          <w:color w:val="auto"/>
          <w:sz w:val="21"/>
          <w:szCs w:val="21"/>
        </w:rPr>
        <w:t>要求签名的</w:t>
      </w:r>
      <w:r>
        <w:rPr>
          <w:rFonts w:hint="eastAsia" w:ascii="宋体" w:hAnsi="宋体" w:eastAsia="宋体" w:cs="宋体"/>
          <w:color w:val="auto"/>
          <w:sz w:val="21"/>
          <w:szCs w:val="21"/>
          <w:lang w:eastAsia="zh-TW"/>
        </w:rPr>
        <w:t>由</w:t>
      </w:r>
      <w:r>
        <w:rPr>
          <w:rFonts w:hint="eastAsia" w:ascii="宋体" w:hAnsi="宋体" w:eastAsia="宋体" w:cs="宋体"/>
          <w:color w:val="auto"/>
          <w:sz w:val="21"/>
          <w:szCs w:val="21"/>
        </w:rPr>
        <w:t>法定</w:t>
      </w:r>
      <w:r>
        <w:rPr>
          <w:rFonts w:hint="eastAsia" w:ascii="宋体" w:hAnsi="宋体" w:eastAsia="宋体" w:cs="宋体"/>
          <w:color w:val="auto"/>
          <w:sz w:val="21"/>
          <w:szCs w:val="21"/>
          <w:lang w:eastAsia="zh-TW"/>
        </w:rPr>
        <w:t>代表人或经其正式授权的代表签字</w:t>
      </w:r>
      <w:r>
        <w:rPr>
          <w:rFonts w:hint="eastAsia" w:ascii="Times New Roman" w:hAnsi="Times New Roman" w:eastAsia="宋体" w:cs="宋体"/>
          <w:color w:val="auto"/>
          <w:sz w:val="21"/>
          <w:szCs w:val="21"/>
        </w:rPr>
        <w:t>或盖章</w:t>
      </w:r>
      <w:r>
        <w:rPr>
          <w:rFonts w:hint="eastAsia" w:ascii="宋体" w:hAnsi="宋体" w:eastAsia="宋体" w:cs="宋体"/>
          <w:color w:val="auto"/>
          <w:sz w:val="21"/>
          <w:szCs w:val="21"/>
        </w:rPr>
        <w:t>。以及磋商文件中明示盖章处应加盖响应供应商公章，副本可以</w:t>
      </w:r>
      <w:r>
        <w:rPr>
          <w:rFonts w:hint="eastAsia" w:ascii="宋体" w:hAnsi="宋体" w:eastAsia="宋体" w:cs="Courier New"/>
          <w:color w:val="auto"/>
          <w:sz w:val="21"/>
          <w:szCs w:val="21"/>
        </w:rPr>
        <w:t>用正本</w:t>
      </w:r>
      <w:r>
        <w:rPr>
          <w:rFonts w:hint="eastAsia" w:ascii="宋体" w:hAnsi="宋体" w:eastAsia="宋体" w:cs="宋体"/>
          <w:color w:val="auto"/>
          <w:sz w:val="21"/>
          <w:szCs w:val="21"/>
        </w:rPr>
        <w:t>复印，与正本具有同等法律效力</w:t>
      </w:r>
      <w:r>
        <w:rPr>
          <w:rFonts w:hint="eastAsia" w:ascii="宋体" w:hAnsi="宋体" w:eastAsia="宋体" w:cs="宋体"/>
          <w:color w:val="auto"/>
          <w:sz w:val="21"/>
          <w:szCs w:val="21"/>
          <w:lang w:eastAsia="zh-TW"/>
        </w:rPr>
        <w:t>。授权代表须将以书面形式出具的《法定代表人授权</w:t>
      </w:r>
      <w:r>
        <w:rPr>
          <w:rFonts w:hint="eastAsia" w:ascii="宋体" w:hAnsi="宋体" w:eastAsia="宋体" w:cs="宋体"/>
          <w:color w:val="auto"/>
          <w:sz w:val="21"/>
          <w:szCs w:val="21"/>
        </w:rPr>
        <w:t>委托</w:t>
      </w:r>
      <w:r>
        <w:rPr>
          <w:rFonts w:hint="eastAsia" w:ascii="宋体" w:hAnsi="宋体" w:eastAsia="宋体" w:cs="宋体"/>
          <w:color w:val="auto"/>
          <w:sz w:val="21"/>
          <w:szCs w:val="21"/>
          <w:lang w:eastAsia="zh-TW"/>
        </w:rPr>
        <w:t>书》附在响应文件中。</w:t>
      </w:r>
    </w:p>
    <w:p>
      <w:pPr>
        <w:widowControl w:val="0"/>
        <w:numPr>
          <w:ilvl w:val="2"/>
          <w:numId w:val="60"/>
        </w:numPr>
        <w:tabs>
          <w:tab w:val="left" w:pos="851"/>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lang w:eastAsia="zh-TW"/>
        </w:rPr>
        <w:t>响应文件中的任何重要的插字、涂改和增删，必须由法定代表人或经其正式授权的代表在旁边签章或签字才有效。</w:t>
      </w:r>
    </w:p>
    <w:p>
      <w:pPr>
        <w:widowControl w:val="0"/>
        <w:autoSpaceDE w:val="0"/>
        <w:autoSpaceDN w:val="0"/>
        <w:spacing w:after="0" w:line="360" w:lineRule="auto"/>
        <w:jc w:val="center"/>
        <w:outlineLvl w:val="1"/>
        <w:rPr>
          <w:rFonts w:ascii="宋体" w:hAnsi="宋体" w:eastAsia="宋体" w:cs="宋体"/>
          <w:b/>
          <w:color w:val="auto"/>
          <w:sz w:val="28"/>
          <w:szCs w:val="28"/>
          <w:lang w:eastAsia="zh-TW"/>
        </w:rPr>
      </w:pPr>
      <w:bookmarkStart w:id="219" w:name="_Toc416770232"/>
      <w:bookmarkStart w:id="220" w:name="_Toc416771342"/>
      <w:bookmarkStart w:id="221" w:name="_Toc410738955"/>
      <w:bookmarkStart w:id="222" w:name="_Toc410736155"/>
      <w:r>
        <w:rPr>
          <w:rFonts w:hint="eastAsia" w:ascii="宋体" w:hAnsi="宋体" w:eastAsia="宋体" w:cs="宋体"/>
          <w:b/>
          <w:color w:val="auto"/>
          <w:sz w:val="28"/>
          <w:szCs w:val="28"/>
          <w:lang w:eastAsia="zh-TW"/>
        </w:rPr>
        <w:t>四、响应文件的递交</w:t>
      </w:r>
      <w:bookmarkEnd w:id="219"/>
      <w:bookmarkEnd w:id="220"/>
      <w:bookmarkEnd w:id="221"/>
      <w:bookmarkEnd w:id="222"/>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23" w:name="_Toc416771343"/>
      <w:bookmarkStart w:id="224" w:name="_Toc410736156"/>
      <w:bookmarkStart w:id="225" w:name="_Toc416770233"/>
      <w:bookmarkStart w:id="226" w:name="_Toc410738956"/>
      <w:r>
        <w:rPr>
          <w:rFonts w:hint="eastAsia" w:ascii="宋体" w:hAnsi="宋体" w:eastAsia="宋体" w:cs="宋体"/>
          <w:b/>
          <w:color w:val="auto"/>
          <w:sz w:val="21"/>
          <w:szCs w:val="21"/>
        </w:rPr>
        <w:t>响应文件的密封和标记</w:t>
      </w:r>
      <w:bookmarkEnd w:id="223"/>
      <w:bookmarkEnd w:id="224"/>
      <w:bookmarkEnd w:id="225"/>
      <w:bookmarkEnd w:id="226"/>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响应供应商应单独提交一个密封信封，并在信封上标明“单独密封资料”的字样，内容包括报价表、磋商保证金缴付凭证、电子文件和退磋商保证金说明函，若本项目（或包组）接受联合体投标，则联合体投标，应将各方共同签署的《联合投标协议》一并提交。“单独密封资料”是响应文件的组成部分。</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响应文件</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TW"/>
        </w:rPr>
        <w:t>密封</w:t>
      </w:r>
      <w:r>
        <w:rPr>
          <w:rFonts w:hint="eastAsia" w:ascii="宋体" w:hAnsi="宋体" w:eastAsia="宋体" w:cs="宋体"/>
          <w:color w:val="auto"/>
          <w:sz w:val="21"/>
          <w:szCs w:val="21"/>
        </w:rPr>
        <w:t>：</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rPr>
        <w:t>响应文件正本与副本可以单独密封包装，也可以所有响应文件密封包装在一个密封袋内。</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rPr>
        <w:t>不足以造成响应文件可从外包装内散出而导致响应文件泄密的，不认定为响应文件未密封。</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响应文件</w:t>
      </w:r>
      <w:r>
        <w:rPr>
          <w:rFonts w:hint="eastAsia" w:ascii="宋体" w:hAnsi="宋体" w:eastAsia="宋体" w:cs="宋体"/>
          <w:color w:val="auto"/>
          <w:sz w:val="21"/>
          <w:szCs w:val="21"/>
        </w:rPr>
        <w:t>的标记：</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rPr>
      </w:pPr>
      <w:r>
        <w:rPr>
          <w:rFonts w:hint="eastAsia" w:ascii="宋体" w:hAnsi="宋体" w:eastAsia="宋体" w:cs="宋体"/>
          <w:color w:val="auto"/>
          <w:sz w:val="21"/>
          <w:szCs w:val="21"/>
        </w:rPr>
        <w:t>清楚写明响应供应商名称和地址。</w:t>
      </w:r>
    </w:p>
    <w:p>
      <w:pPr>
        <w:widowControl w:val="0"/>
        <w:numPr>
          <w:ilvl w:val="2"/>
          <w:numId w:val="60"/>
        </w:numPr>
        <w:tabs>
          <w:tab w:val="left" w:pos="709"/>
          <w:tab w:val="clear" w:pos="720"/>
        </w:tabs>
        <w:autoSpaceDE w:val="0"/>
        <w:autoSpaceDN w:val="0"/>
        <w:spacing w:after="0" w:line="360" w:lineRule="auto"/>
        <w:ind w:left="851" w:hanging="851"/>
        <w:jc w:val="both"/>
        <w:rPr>
          <w:rFonts w:ascii="宋体" w:hAnsi="宋体" w:eastAsia="宋体" w:cs="宋体"/>
          <w:color w:val="auto"/>
        </w:rPr>
      </w:pPr>
      <w:r>
        <w:rPr>
          <w:rFonts w:hint="eastAsia" w:ascii="宋体" w:hAnsi="宋体" w:eastAsia="宋体" w:cs="宋体"/>
          <w:color w:val="auto"/>
          <w:sz w:val="21"/>
          <w:szCs w:val="21"/>
        </w:rPr>
        <w:t>注明磋商邀请中指明的项目名称</w:t>
      </w:r>
      <w:r>
        <w:rPr>
          <w:rFonts w:hint="eastAsia" w:ascii="宋体" w:hAnsi="宋体" w:eastAsia="宋体" w:cs="宋体"/>
          <w:color w:val="auto"/>
          <w:sz w:val="21"/>
          <w:szCs w:val="21"/>
          <w:lang w:eastAsia="zh-TW"/>
        </w:rPr>
        <w:t>、</w:t>
      </w:r>
      <w:r>
        <w:rPr>
          <w:rFonts w:hint="eastAsia" w:ascii="宋体" w:hAnsi="宋体" w:eastAsia="宋体" w:cs="宋体"/>
          <w:color w:val="auto"/>
          <w:sz w:val="21"/>
          <w:szCs w:val="21"/>
        </w:rPr>
        <w:t>项目</w:t>
      </w:r>
      <w:r>
        <w:rPr>
          <w:rFonts w:hint="eastAsia" w:ascii="宋体" w:hAnsi="宋体" w:eastAsia="宋体" w:cs="宋体"/>
          <w:color w:val="auto"/>
          <w:sz w:val="21"/>
          <w:szCs w:val="21"/>
          <w:lang w:eastAsia="zh-TW"/>
        </w:rPr>
        <w:t>编号</w:t>
      </w:r>
      <w:r>
        <w:rPr>
          <w:rFonts w:hint="eastAsia" w:ascii="宋体" w:hAnsi="宋体" w:eastAsia="宋体" w:cs="宋体"/>
          <w:color w:val="auto"/>
          <w:sz w:val="21"/>
          <w:szCs w:val="21"/>
        </w:rPr>
        <w:t>、包组号（如有）的</w:t>
      </w:r>
      <w:r>
        <w:rPr>
          <w:rFonts w:hint="eastAsia" w:ascii="宋体" w:hAnsi="宋体" w:eastAsia="宋体" w:cs="宋体"/>
          <w:color w:val="auto"/>
          <w:sz w:val="21"/>
          <w:szCs w:val="21"/>
          <w:lang w:eastAsia="zh-TW"/>
        </w:rPr>
        <w:t>字样。</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如果未按本须知</w:t>
      </w:r>
      <w:r>
        <w:rPr>
          <w:rFonts w:hint="eastAsia" w:ascii="宋体" w:hAnsi="宋体" w:eastAsia="宋体" w:cs="宋体"/>
          <w:color w:val="auto"/>
          <w:sz w:val="21"/>
          <w:szCs w:val="21"/>
        </w:rPr>
        <w:t>上款</w:t>
      </w:r>
      <w:r>
        <w:rPr>
          <w:rFonts w:hint="eastAsia" w:ascii="宋体" w:hAnsi="宋体" w:eastAsia="宋体" w:cs="宋体"/>
          <w:color w:val="auto"/>
          <w:sz w:val="21"/>
          <w:szCs w:val="21"/>
          <w:lang w:eastAsia="zh-TW"/>
        </w:rPr>
        <w:t>要求加写标记</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采购代理机构对误投或提前启封概不负责</w:t>
      </w:r>
      <w:r>
        <w:rPr>
          <w:rFonts w:hint="eastAsia" w:ascii="宋体" w:hAnsi="宋体" w:eastAsia="宋体" w:cs="宋体"/>
          <w:color w:val="auto"/>
          <w:sz w:val="21"/>
          <w:szCs w:val="21"/>
        </w:rPr>
        <w:t>。</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27" w:name="_Toc416770234"/>
      <w:bookmarkStart w:id="228" w:name="_Toc416771344"/>
      <w:bookmarkStart w:id="229" w:name="_Toc410738957"/>
      <w:bookmarkStart w:id="230" w:name="_Toc410736157"/>
      <w:r>
        <w:rPr>
          <w:rFonts w:hint="eastAsia" w:ascii="宋体" w:hAnsi="宋体" w:eastAsia="宋体" w:cs="宋体"/>
          <w:b/>
          <w:color w:val="auto"/>
          <w:sz w:val="21"/>
          <w:szCs w:val="21"/>
        </w:rPr>
        <w:t>响应文件递交截止期</w:t>
      </w:r>
      <w:bookmarkEnd w:id="227"/>
      <w:bookmarkEnd w:id="228"/>
      <w:bookmarkEnd w:id="229"/>
      <w:bookmarkEnd w:id="230"/>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响应供应商应在</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lang w:eastAsia="zh-TW"/>
        </w:rPr>
        <w:t>中规定的截止日期和时间</w:t>
      </w:r>
      <w:r>
        <w:rPr>
          <w:rFonts w:hint="eastAsia" w:ascii="宋体" w:hAnsi="宋体" w:eastAsia="宋体" w:cs="宋体"/>
          <w:color w:val="auto"/>
          <w:sz w:val="21"/>
          <w:szCs w:val="21"/>
        </w:rPr>
        <w:t>前，</w:t>
      </w:r>
      <w:r>
        <w:rPr>
          <w:rFonts w:hint="eastAsia" w:ascii="宋体" w:hAnsi="宋体" w:eastAsia="宋体" w:cs="宋体"/>
          <w:color w:val="auto"/>
          <w:sz w:val="21"/>
          <w:szCs w:val="21"/>
          <w:lang w:eastAsia="zh-TW"/>
        </w:rPr>
        <w:t>将响应文件递交至</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中指明的</w:t>
      </w:r>
      <w:r>
        <w:rPr>
          <w:rFonts w:hint="eastAsia" w:ascii="宋体" w:hAnsi="宋体" w:eastAsia="宋体" w:cs="宋体"/>
          <w:color w:val="auto"/>
          <w:sz w:val="21"/>
          <w:szCs w:val="21"/>
        </w:rPr>
        <w:t>地点</w:t>
      </w:r>
      <w:r>
        <w:rPr>
          <w:rFonts w:hint="eastAsia" w:ascii="宋体" w:hAnsi="宋体" w:eastAsia="宋体" w:cs="宋体"/>
          <w:color w:val="auto"/>
          <w:sz w:val="21"/>
          <w:szCs w:val="21"/>
          <w:lang w:eastAsia="zh-TW"/>
        </w:rPr>
        <w:t>。</w:t>
      </w:r>
      <w:r>
        <w:rPr>
          <w:rFonts w:hint="eastAsia" w:ascii="宋体" w:hAnsi="宋体" w:eastAsia="宋体" w:cs="宋体"/>
          <w:color w:val="auto"/>
          <w:sz w:val="21"/>
          <w:szCs w:val="21"/>
        </w:rPr>
        <w:t>在截止时间后送达的响应文件为无效文件，采购人或者磋商小组应当拒绝。</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31" w:name="_Toc410736158"/>
      <w:bookmarkStart w:id="232" w:name="_Toc416770235"/>
      <w:bookmarkStart w:id="233" w:name="_Toc410738958"/>
      <w:bookmarkStart w:id="234" w:name="_Toc416771345"/>
      <w:r>
        <w:rPr>
          <w:rFonts w:hint="eastAsia" w:ascii="宋体" w:hAnsi="宋体" w:eastAsia="宋体" w:cs="宋体"/>
          <w:b/>
          <w:color w:val="auto"/>
          <w:sz w:val="21"/>
          <w:szCs w:val="21"/>
        </w:rPr>
        <w:t>响应文件的修改和撤回</w:t>
      </w:r>
      <w:bookmarkEnd w:id="231"/>
      <w:bookmarkEnd w:id="232"/>
      <w:bookmarkEnd w:id="233"/>
      <w:bookmarkEnd w:id="234"/>
      <w:r>
        <w:rPr>
          <w:rFonts w:hint="eastAsia" w:ascii="宋体" w:hAnsi="宋体" w:eastAsia="宋体" w:cs="宋体"/>
          <w:b/>
          <w:color w:val="auto"/>
          <w:sz w:val="21"/>
          <w:szCs w:val="21"/>
        </w:rPr>
        <w:t>、撤销</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rPr>
      </w:pPr>
      <w:r>
        <w:rPr>
          <w:rFonts w:hint="eastAsia" w:ascii="宋体" w:hAnsi="宋体" w:eastAsia="宋体" w:cs="宋体"/>
          <w:color w:val="auto"/>
          <w:sz w:val="21"/>
          <w:szCs w:val="21"/>
          <w:lang w:eastAsia="zh-TW"/>
        </w:rPr>
        <w:t>响应供应商在响应文件</w:t>
      </w:r>
      <w:r>
        <w:rPr>
          <w:rFonts w:hint="eastAsia" w:ascii="宋体" w:hAnsi="宋体" w:eastAsia="宋体" w:cs="宋体"/>
          <w:color w:val="auto"/>
          <w:sz w:val="21"/>
          <w:szCs w:val="21"/>
        </w:rPr>
        <w:t>递交</w:t>
      </w:r>
      <w:r>
        <w:rPr>
          <w:rFonts w:hint="eastAsia" w:ascii="宋体" w:hAnsi="宋体" w:eastAsia="宋体" w:cs="宋体"/>
          <w:color w:val="auto"/>
          <w:sz w:val="21"/>
          <w:szCs w:val="21"/>
          <w:lang w:eastAsia="zh-TW"/>
        </w:rPr>
        <w:t>截止</w:t>
      </w:r>
      <w:r>
        <w:rPr>
          <w:rFonts w:hint="eastAsia" w:ascii="宋体" w:hAnsi="宋体" w:eastAsia="宋体" w:cs="宋体"/>
          <w:color w:val="auto"/>
          <w:sz w:val="21"/>
          <w:szCs w:val="21"/>
        </w:rPr>
        <w:t>时间</w:t>
      </w:r>
      <w:r>
        <w:rPr>
          <w:rFonts w:hint="eastAsia" w:ascii="宋体" w:hAnsi="宋体" w:eastAsia="宋体" w:cs="宋体"/>
          <w:color w:val="auto"/>
          <w:sz w:val="21"/>
          <w:szCs w:val="21"/>
          <w:lang w:eastAsia="zh-TW"/>
        </w:rPr>
        <w:t>前，可以对所递交的响应文件进行补充、修改或者撤回，并书面通知采购人。补充、修改的内容应当按竞争性磋商文件要求签署、盖章，并作为响应文件的组成部分。</w:t>
      </w:r>
      <w:r>
        <w:rPr>
          <w:rFonts w:hint="eastAsia" w:ascii="宋体" w:hAnsi="宋体" w:eastAsia="宋体" w:cs="宋体"/>
          <w:color w:val="auto"/>
          <w:sz w:val="21"/>
          <w:szCs w:val="21"/>
        </w:rPr>
        <w:t>补充、修改的内容和响应文件不一致的，以补充、修改的内容为准。</w:t>
      </w:r>
      <w:r>
        <w:rPr>
          <w:rFonts w:hint="eastAsia" w:ascii="宋体" w:hAnsi="宋体" w:eastAsia="宋体" w:cs="宋体"/>
          <w:color w:val="auto"/>
          <w:sz w:val="21"/>
          <w:szCs w:val="21"/>
          <w:lang w:eastAsia="zh-TW"/>
        </w:rPr>
        <w:t>在响应文件</w:t>
      </w:r>
      <w:r>
        <w:rPr>
          <w:rFonts w:hint="eastAsia" w:ascii="宋体" w:hAnsi="宋体" w:eastAsia="宋体" w:cs="宋体"/>
          <w:color w:val="auto"/>
          <w:sz w:val="21"/>
          <w:szCs w:val="21"/>
        </w:rPr>
        <w:t>递交</w:t>
      </w:r>
      <w:r>
        <w:rPr>
          <w:rFonts w:hint="eastAsia" w:ascii="宋体" w:hAnsi="宋体" w:eastAsia="宋体" w:cs="宋体"/>
          <w:color w:val="auto"/>
          <w:sz w:val="21"/>
          <w:szCs w:val="21"/>
          <w:lang w:eastAsia="zh-TW"/>
        </w:rPr>
        <w:t>截止期时点之后，响应供应商不得对其响应文件做任何修改和补充。</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bCs/>
          <w:color w:val="auto"/>
        </w:rPr>
      </w:pPr>
      <w:r>
        <w:rPr>
          <w:rFonts w:hint="eastAsia" w:ascii="宋体" w:hAnsi="宋体" w:eastAsia="宋体" w:cs="宋体"/>
          <w:bCs/>
          <w:color w:val="auto"/>
          <w:sz w:val="21"/>
          <w:szCs w:val="21"/>
        </w:rPr>
        <w:t>除响应供应商提交最后报价之前根据磋商情况退出磋商的情形外，响应供应商在投标截止后或在竞争性磋商文件中规定的磋商有效期内不可撤销其投标。否则，不予退还其磋商保证金。</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bCs/>
          <w:color w:val="auto"/>
        </w:rPr>
      </w:pPr>
      <w:r>
        <w:rPr>
          <w:rFonts w:hint="eastAsia" w:ascii="宋体" w:hAnsi="宋体" w:eastAsia="宋体" w:cs="宋体"/>
          <w:color w:val="auto"/>
          <w:sz w:val="21"/>
          <w:szCs w:val="21"/>
        </w:rPr>
        <w:t>响应供应商所提交的响应文件在本项目递交响应文件截止时间后均不予退还。</w:t>
      </w:r>
    </w:p>
    <w:p>
      <w:pPr>
        <w:widowControl w:val="0"/>
        <w:autoSpaceDE w:val="0"/>
        <w:autoSpaceDN w:val="0"/>
        <w:spacing w:after="0" w:line="360" w:lineRule="auto"/>
        <w:jc w:val="center"/>
        <w:outlineLvl w:val="1"/>
        <w:rPr>
          <w:rFonts w:ascii="宋体" w:hAnsi="宋体" w:eastAsia="宋体" w:cs="宋体"/>
          <w:b/>
          <w:color w:val="auto"/>
          <w:sz w:val="28"/>
          <w:szCs w:val="28"/>
          <w:lang w:eastAsia="zh-TW"/>
        </w:rPr>
      </w:pPr>
      <w:bookmarkStart w:id="235" w:name="_Toc410738959"/>
      <w:bookmarkStart w:id="236" w:name="_Toc416771346"/>
      <w:bookmarkStart w:id="237" w:name="_Toc410736159"/>
      <w:bookmarkStart w:id="238" w:name="_Toc416770236"/>
      <w:r>
        <w:rPr>
          <w:rFonts w:hint="eastAsia" w:ascii="宋体" w:hAnsi="宋体" w:eastAsia="宋体" w:cs="宋体"/>
          <w:b/>
          <w:color w:val="auto"/>
          <w:sz w:val="28"/>
          <w:szCs w:val="28"/>
          <w:lang w:eastAsia="zh-TW"/>
        </w:rPr>
        <w:t>五、竞争性磋商流程</w:t>
      </w:r>
      <w:bookmarkEnd w:id="235"/>
      <w:bookmarkEnd w:id="236"/>
      <w:bookmarkEnd w:id="237"/>
      <w:bookmarkEnd w:id="238"/>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39" w:name="_Toc416771347"/>
      <w:bookmarkStart w:id="240" w:name="_Toc416770237"/>
      <w:bookmarkStart w:id="241" w:name="_Toc410736160"/>
      <w:bookmarkStart w:id="242" w:name="_Toc410738960"/>
      <w:r>
        <w:rPr>
          <w:rFonts w:hint="eastAsia" w:ascii="宋体" w:hAnsi="宋体" w:eastAsia="宋体" w:cs="宋体"/>
          <w:b/>
          <w:color w:val="auto"/>
          <w:sz w:val="21"/>
          <w:szCs w:val="21"/>
        </w:rPr>
        <w:t>响应文件的拆封</w:t>
      </w:r>
      <w:bookmarkEnd w:id="239"/>
      <w:bookmarkEnd w:id="240"/>
      <w:bookmarkEnd w:id="241"/>
      <w:bookmarkEnd w:id="242"/>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采购代理机构在</w:t>
      </w:r>
      <w:r>
        <w:rPr>
          <w:rFonts w:hint="eastAsia" w:ascii="宋体" w:hAnsi="宋体" w:eastAsia="宋体" w:cs="宋体"/>
          <w:b/>
          <w:color w:val="auto"/>
          <w:sz w:val="21"/>
          <w:szCs w:val="21"/>
          <w:lang w:eastAsia="zh-TW"/>
        </w:rPr>
        <w:t>磋商邀请</w:t>
      </w:r>
      <w:r>
        <w:rPr>
          <w:rFonts w:hint="eastAsia" w:ascii="宋体" w:hAnsi="宋体" w:eastAsia="宋体" w:cs="宋体"/>
          <w:color w:val="auto"/>
          <w:sz w:val="21"/>
          <w:szCs w:val="21"/>
          <w:lang w:eastAsia="zh-TW"/>
        </w:rPr>
        <w:t>中规定的日期、时</w:t>
      </w:r>
      <w:r>
        <w:rPr>
          <w:rFonts w:hint="eastAsia" w:ascii="宋体" w:hAnsi="宋体" w:eastAsia="宋体" w:cs="宋体"/>
          <w:color w:val="auto"/>
          <w:sz w:val="21"/>
          <w:szCs w:val="21"/>
        </w:rPr>
        <w:t>间</w:t>
      </w:r>
      <w:r>
        <w:rPr>
          <w:rFonts w:hint="eastAsia" w:ascii="宋体" w:hAnsi="宋体" w:eastAsia="宋体" w:cs="宋体"/>
          <w:color w:val="auto"/>
          <w:sz w:val="21"/>
          <w:szCs w:val="21"/>
          <w:lang w:eastAsia="zh-TW"/>
        </w:rPr>
        <w:t>和地点组织</w:t>
      </w:r>
      <w:r>
        <w:rPr>
          <w:rFonts w:hint="eastAsia" w:ascii="宋体" w:hAnsi="宋体" w:eastAsia="宋体" w:cs="宋体"/>
          <w:color w:val="auto"/>
          <w:sz w:val="21"/>
          <w:szCs w:val="21"/>
        </w:rPr>
        <w:t>磋商</w:t>
      </w:r>
      <w:r>
        <w:rPr>
          <w:rFonts w:hint="eastAsia" w:ascii="宋体" w:hAnsi="宋体" w:eastAsia="宋体" w:cs="宋体"/>
          <w:color w:val="auto"/>
          <w:sz w:val="21"/>
          <w:szCs w:val="21"/>
          <w:lang w:eastAsia="zh-TW"/>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响应文件拆封在竞争性磋商文件规定的</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lang w:eastAsia="zh-TW"/>
        </w:rPr>
        <w:t>时间进行，拆封地点为竞争性磋商文件中预先确定的</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lang w:eastAsia="zh-TW"/>
        </w:rPr>
        <w:t>地点。</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b/>
          <w:color w:val="auto"/>
        </w:rPr>
      </w:pPr>
      <w:r>
        <w:rPr>
          <w:rFonts w:hint="eastAsia" w:ascii="宋体" w:hAnsi="宋体" w:eastAsia="宋体" w:cs="宋体"/>
          <w:color w:val="auto"/>
          <w:sz w:val="21"/>
          <w:szCs w:val="21"/>
        </w:rPr>
        <w:t>响应文件递交</w:t>
      </w:r>
      <w:r>
        <w:rPr>
          <w:rFonts w:hint="eastAsia" w:ascii="宋体" w:hAnsi="宋体" w:eastAsia="宋体" w:cs="宋体"/>
          <w:color w:val="auto"/>
          <w:sz w:val="21"/>
          <w:szCs w:val="21"/>
          <w:lang w:eastAsia="zh-TW"/>
        </w:rPr>
        <w:t>截止时间后，由全体</w:t>
      </w:r>
      <w:r>
        <w:rPr>
          <w:rFonts w:hint="eastAsia" w:ascii="宋体" w:hAnsi="宋体" w:eastAsia="宋体" w:cs="宋体"/>
          <w:color w:val="auto"/>
          <w:sz w:val="21"/>
          <w:szCs w:val="21"/>
        </w:rPr>
        <w:t>响应</w:t>
      </w:r>
      <w:r>
        <w:rPr>
          <w:rFonts w:hint="eastAsia" w:ascii="宋体" w:hAnsi="宋体" w:eastAsia="宋体" w:cs="宋体"/>
          <w:color w:val="auto"/>
          <w:sz w:val="21"/>
          <w:szCs w:val="21"/>
          <w:lang w:eastAsia="zh-TW"/>
        </w:rPr>
        <w:t>供应商对全部响应文件的密封情况进行检查。</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43" w:name="_Toc410738961"/>
      <w:bookmarkStart w:id="244" w:name="_Toc416771348"/>
      <w:bookmarkStart w:id="245" w:name="_Toc410736161"/>
      <w:bookmarkStart w:id="246" w:name="_Toc416770238"/>
      <w:r>
        <w:rPr>
          <w:rFonts w:hint="eastAsia" w:ascii="宋体" w:hAnsi="宋体" w:eastAsia="宋体" w:cs="宋体"/>
          <w:b/>
          <w:color w:val="auto"/>
          <w:sz w:val="21"/>
          <w:szCs w:val="21"/>
        </w:rPr>
        <w:t>磋商小组</w:t>
      </w:r>
      <w:bookmarkEnd w:id="243"/>
      <w:bookmarkEnd w:id="244"/>
      <w:bookmarkEnd w:id="245"/>
      <w:bookmarkEnd w:id="246"/>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磋商</w:t>
      </w:r>
      <w:r>
        <w:rPr>
          <w:rFonts w:hint="eastAsia" w:ascii="宋体" w:hAnsi="宋体" w:eastAsia="宋体" w:cs="宋体"/>
          <w:color w:val="auto"/>
          <w:sz w:val="21"/>
          <w:szCs w:val="21"/>
          <w:lang w:eastAsia="zh-TW"/>
        </w:rPr>
        <w:t>由依照政府采购法律、法规、规章、政策的规定，组建的</w:t>
      </w: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负责。</w:t>
      </w:r>
      <w:r>
        <w:rPr>
          <w:rFonts w:hint="eastAsia" w:ascii="宋体" w:hAnsi="宋体" w:eastAsia="宋体" w:cs="宋体"/>
          <w:color w:val="auto"/>
          <w:sz w:val="21"/>
          <w:szCs w:val="21"/>
        </w:rPr>
        <w:t>磋商小组按政府采购规定由采购人</w:t>
      </w:r>
      <w:r>
        <w:rPr>
          <w:rFonts w:hint="eastAsia" w:ascii="宋体" w:hAnsi="宋体" w:eastAsia="宋体" w:cs="宋体"/>
          <w:color w:val="auto"/>
          <w:sz w:val="21"/>
          <w:szCs w:val="21"/>
          <w:lang w:eastAsia="zh-TW"/>
        </w:rPr>
        <w:t>代表和</w:t>
      </w:r>
      <w:r>
        <w:rPr>
          <w:rFonts w:hint="eastAsia" w:ascii="宋体" w:hAnsi="宋体" w:eastAsia="宋体" w:cs="宋体"/>
          <w:color w:val="auto"/>
          <w:sz w:val="21"/>
          <w:szCs w:val="21"/>
        </w:rPr>
        <w:t>相关专业</w:t>
      </w:r>
      <w:r>
        <w:rPr>
          <w:rFonts w:hint="eastAsia" w:ascii="宋体" w:hAnsi="宋体" w:eastAsia="宋体" w:cs="宋体"/>
          <w:color w:val="auto"/>
          <w:sz w:val="21"/>
          <w:szCs w:val="21"/>
          <w:lang w:eastAsia="zh-TW"/>
        </w:rPr>
        <w:t>的专家组成，</w:t>
      </w: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人数构成将按照</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中确定。</w:t>
      </w: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成员依法从政府采购</w:t>
      </w:r>
      <w:r>
        <w:rPr>
          <w:rFonts w:hint="eastAsia" w:ascii="宋体" w:hAnsi="宋体" w:eastAsia="宋体" w:cs="宋体"/>
          <w:color w:val="auto"/>
          <w:sz w:val="21"/>
          <w:szCs w:val="21"/>
        </w:rPr>
        <w:t>评审</w:t>
      </w:r>
      <w:r>
        <w:rPr>
          <w:rFonts w:hint="eastAsia" w:ascii="宋体" w:hAnsi="宋体" w:eastAsia="宋体" w:cs="宋体"/>
          <w:color w:val="auto"/>
          <w:sz w:val="21"/>
          <w:szCs w:val="21"/>
          <w:lang w:eastAsia="zh-TW"/>
        </w:rPr>
        <w:t>专家库中随机抽取。</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rPr>
        <w:t>磋商小组名单在磋商结果确定前严格保密</w:t>
      </w:r>
      <w:r>
        <w:rPr>
          <w:rFonts w:hint="eastAsia" w:ascii="宋体" w:hAnsi="宋体" w:eastAsia="宋体" w:cs="宋体"/>
          <w:color w:val="auto"/>
          <w:sz w:val="21"/>
          <w:szCs w:val="21"/>
          <w:lang w:eastAsia="zh-TW"/>
        </w:rPr>
        <w:t>。</w:t>
      </w:r>
      <w:r>
        <w:rPr>
          <w:rFonts w:hint="eastAsia" w:ascii="宋体" w:hAnsi="宋体" w:eastAsia="宋体" w:cs="宋体"/>
          <w:color w:val="auto"/>
          <w:sz w:val="21"/>
          <w:szCs w:val="21"/>
        </w:rPr>
        <w:t>评审</w:t>
      </w:r>
      <w:r>
        <w:rPr>
          <w:rFonts w:hint="eastAsia" w:ascii="宋体" w:hAnsi="宋体" w:eastAsia="宋体" w:cs="宋体"/>
          <w:color w:val="auto"/>
          <w:sz w:val="21"/>
          <w:szCs w:val="21"/>
          <w:lang w:eastAsia="zh-TW"/>
        </w:rPr>
        <w:t>专家有下列情形之一的，受到邀请应主动提出回避，采购当事人也可以要求该</w:t>
      </w:r>
      <w:r>
        <w:rPr>
          <w:rFonts w:hint="eastAsia" w:ascii="宋体" w:hAnsi="宋体" w:eastAsia="宋体" w:cs="宋体"/>
          <w:color w:val="auto"/>
          <w:sz w:val="21"/>
          <w:szCs w:val="21"/>
        </w:rPr>
        <w:t>评审</w:t>
      </w:r>
      <w:r>
        <w:rPr>
          <w:rFonts w:hint="eastAsia" w:ascii="宋体" w:hAnsi="宋体" w:eastAsia="宋体" w:cs="宋体"/>
          <w:color w:val="auto"/>
          <w:sz w:val="21"/>
          <w:szCs w:val="21"/>
          <w:lang w:eastAsia="zh-TW"/>
        </w:rPr>
        <w:t>专家回避：</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参加采购活动前3年内与供应商存在劳动关系；</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参加采购活动前3年内担任供应商的董事、监事；</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参加采购活动前3年内是供应商的控股股东或者实际控制人；</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与供应商的法定代表人或者负责人有夫妻、直系血亲、三代以内旁系血亲或者近姻亲关系；</w:t>
      </w:r>
    </w:p>
    <w:p>
      <w:pPr>
        <w:widowControl w:val="0"/>
        <w:numPr>
          <w:ilvl w:val="2"/>
          <w:numId w:val="60"/>
        </w:numPr>
        <w:tabs>
          <w:tab w:val="left" w:pos="851"/>
        </w:tabs>
        <w:autoSpaceDE w:val="0"/>
        <w:autoSpaceDN w:val="0"/>
        <w:spacing w:after="0" w:line="360" w:lineRule="auto"/>
        <w:jc w:val="both"/>
        <w:rPr>
          <w:rFonts w:ascii="宋体" w:hAnsi="宋体" w:eastAsia="宋体" w:cs="宋体"/>
          <w:color w:val="auto"/>
          <w:lang w:eastAsia="zh-TW"/>
        </w:rPr>
      </w:pPr>
      <w:r>
        <w:rPr>
          <w:rFonts w:hint="eastAsia" w:ascii="宋体" w:hAnsi="宋体" w:eastAsia="宋体" w:cs="宋体"/>
          <w:color w:val="auto"/>
          <w:sz w:val="21"/>
          <w:szCs w:val="21"/>
          <w:lang w:eastAsia="zh-TW"/>
        </w:rPr>
        <w:t>与供应商有其他可能影响政府采购活动公平、公正进行的关系。</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47" w:name="_Toc416771349"/>
      <w:bookmarkStart w:id="248" w:name="_Toc416770239"/>
      <w:r>
        <w:rPr>
          <w:rFonts w:hint="eastAsia" w:ascii="宋体" w:hAnsi="宋体" w:eastAsia="宋体" w:cs="宋体"/>
          <w:b/>
          <w:color w:val="auto"/>
          <w:sz w:val="21"/>
          <w:szCs w:val="21"/>
        </w:rPr>
        <w:t>磋商过程</w:t>
      </w:r>
      <w:bookmarkEnd w:id="247"/>
      <w:bookmarkEnd w:id="248"/>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黑体"/>
          <w:b/>
          <w:color w:val="auto"/>
        </w:rPr>
      </w:pPr>
      <w:r>
        <w:rPr>
          <w:rFonts w:hint="eastAsia" w:ascii="Times New Roman" w:hAnsi="Times New Roman" w:eastAsia="宋体" w:cs="宋体"/>
          <w:color w:val="auto"/>
          <w:sz w:val="21"/>
          <w:szCs w:val="21"/>
        </w:rPr>
        <w:t>磋商小组应当对响应文件的有效性、完整性和响应程度进行评审。磋商小组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r>
        <w:rPr>
          <w:rFonts w:hint="eastAsia" w:ascii="宋体" w:hAnsi="宋体" w:eastAsia="宋体" w:cs="宋体"/>
          <w:color w:val="auto"/>
          <w:sz w:val="21"/>
          <w:szCs w:val="21"/>
        </w:rPr>
        <w:t>磋商小组要求供应商澄清、说明或者更正响应文件应当以书面形式作出。供应商的澄清、说明或者更正应当由法定代表人或其授权代表签字或者加盖公章。</w:t>
      </w:r>
    </w:p>
    <w:p>
      <w:pPr>
        <w:widowControl w:val="0"/>
        <w:numPr>
          <w:ilvl w:val="1"/>
          <w:numId w:val="60"/>
        </w:numPr>
        <w:tabs>
          <w:tab w:val="left" w:pos="709"/>
          <w:tab w:val="clear" w:pos="360"/>
        </w:tabs>
        <w:autoSpaceDE w:val="0"/>
        <w:autoSpaceDN w:val="0"/>
        <w:spacing w:after="0" w:line="360" w:lineRule="auto"/>
        <w:ind w:left="709" w:hanging="709"/>
        <w:rPr>
          <w:color w:val="auto"/>
        </w:rPr>
      </w:pPr>
      <w:r>
        <w:rPr>
          <w:rFonts w:hint="eastAsia" w:ascii="Times New Roman" w:hAnsi="Times New Roman" w:eastAsia="宋体" w:cs="宋体"/>
          <w:color w:val="auto"/>
          <w:sz w:val="21"/>
          <w:szCs w:val="21"/>
        </w:rPr>
        <w:t>资格、符合性评审详见竞争性磋商文件第三章的《资格、符合性评审表》，未能通过资格、符合性审查被认定为无效响应，磋商小组应当现场告知有关供应商。</w:t>
      </w:r>
      <w:r>
        <w:rPr>
          <w:rFonts w:hint="eastAsia" w:ascii="宋体" w:hAnsi="宋体" w:eastAsia="宋体" w:cs="宋体"/>
          <w:color w:val="auto"/>
          <w:sz w:val="21"/>
          <w:szCs w:val="21"/>
        </w:rPr>
        <w:t>只</w:t>
      </w:r>
      <w:r>
        <w:rPr>
          <w:rFonts w:hint="eastAsia" w:ascii="Times New Roman" w:hAnsi="Times New Roman" w:eastAsia="宋体" w:cs="宋体"/>
          <w:color w:val="auto"/>
          <w:sz w:val="21"/>
          <w:szCs w:val="21"/>
        </w:rPr>
        <w:t>有全部满足《资格、符合性审查表》所列各项要求的投标才是有效投标，只要不满足资格性和符合性条款中所列各项要求之一的，将被认定为无效投标。对投标有效性认定意见不一致的，磋商小组按照少数服从多数的原则确定。</w:t>
      </w:r>
    </w:p>
    <w:p>
      <w:pPr>
        <w:widowControl w:val="0"/>
        <w:numPr>
          <w:ilvl w:val="1"/>
          <w:numId w:val="60"/>
        </w:numPr>
        <w:tabs>
          <w:tab w:val="left" w:pos="709"/>
          <w:tab w:val="clear" w:pos="360"/>
        </w:tabs>
        <w:autoSpaceDE w:val="0"/>
        <w:autoSpaceDN w:val="0"/>
        <w:spacing w:after="0" w:line="360" w:lineRule="auto"/>
        <w:ind w:left="709" w:hanging="709"/>
        <w:rPr>
          <w:color w:val="auto"/>
        </w:rPr>
      </w:pPr>
      <w:r>
        <w:rPr>
          <w:rFonts w:hint="eastAsia" w:ascii="Times New Roman" w:hAnsi="Times New Roman" w:eastAsia="宋体" w:cs="宋体"/>
          <w:color w:val="auto"/>
          <w:sz w:val="21"/>
          <w:szCs w:val="21"/>
        </w:rPr>
        <w:t>磋商小组所有成员应当集中与单一供应</w:t>
      </w:r>
      <w:r>
        <w:rPr>
          <w:rFonts w:hint="eastAsia" w:ascii="宋体" w:hAnsi="宋体" w:eastAsia="宋体" w:cs="宋体"/>
          <w:color w:val="auto"/>
          <w:sz w:val="21"/>
          <w:szCs w:val="21"/>
          <w:lang w:eastAsia="zh-TW"/>
        </w:rPr>
        <w:t>商（以</w:t>
      </w:r>
      <w:r>
        <w:rPr>
          <w:rFonts w:hint="eastAsia" w:ascii="宋体" w:hAnsi="宋体" w:eastAsia="宋体" w:cs="宋体"/>
          <w:color w:val="auto"/>
          <w:sz w:val="21"/>
          <w:szCs w:val="21"/>
        </w:rPr>
        <w:t>响</w:t>
      </w:r>
      <w:r>
        <w:rPr>
          <w:rFonts w:hint="eastAsia" w:ascii="宋体" w:hAnsi="宋体" w:eastAsia="宋体" w:cs="宋体"/>
          <w:color w:val="auto"/>
          <w:sz w:val="21"/>
          <w:szCs w:val="21"/>
          <w:lang w:eastAsia="zh-TW"/>
        </w:rPr>
        <w:t>应供应商签到顺序为准）</w:t>
      </w:r>
      <w:r>
        <w:rPr>
          <w:rFonts w:hint="eastAsia" w:ascii="Times New Roman" w:hAnsi="Times New Roman" w:eastAsia="宋体" w:cs="宋体"/>
          <w:color w:val="auto"/>
          <w:sz w:val="21"/>
          <w:szCs w:val="21"/>
        </w:rPr>
        <w:t>分别进行磋商，并给予所有参加磋商</w:t>
      </w:r>
      <w:r>
        <w:rPr>
          <w:rFonts w:hint="eastAsia" w:ascii="宋体" w:hAnsi="宋体" w:eastAsia="宋体" w:cs="宋体"/>
          <w:color w:val="auto"/>
          <w:sz w:val="21"/>
          <w:szCs w:val="21"/>
        </w:rPr>
        <w:t>的响应</w:t>
      </w:r>
      <w:r>
        <w:rPr>
          <w:rFonts w:hint="eastAsia" w:ascii="Times New Roman" w:hAnsi="Times New Roman" w:eastAsia="宋体" w:cs="宋体"/>
          <w:color w:val="auto"/>
          <w:sz w:val="21"/>
          <w:szCs w:val="21"/>
        </w:rPr>
        <w:t>供应商平等的磋商机</w:t>
      </w:r>
      <w:r>
        <w:rPr>
          <w:rFonts w:hint="eastAsia" w:ascii="宋体" w:hAnsi="宋体" w:eastAsia="宋体" w:cs="宋体"/>
          <w:color w:val="auto"/>
          <w:sz w:val="21"/>
          <w:szCs w:val="21"/>
        </w:rPr>
        <w:t>会</w:t>
      </w:r>
      <w:r>
        <w:rPr>
          <w:rFonts w:hint="eastAsia" w:ascii="Times New Roman" w:hAnsi="Times New Roman"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color w:val="auto"/>
        </w:rPr>
      </w:pPr>
      <w:r>
        <w:rPr>
          <w:rFonts w:hint="eastAsia" w:ascii="Times New Roman" w:hAnsi="Times New Roman" w:eastAsia="宋体" w:cs="宋体"/>
          <w:color w:val="auto"/>
          <w:sz w:val="21"/>
          <w:szCs w:val="21"/>
        </w:rPr>
        <w:t>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实质性变动是竞争性磋商文件的有效组成部分，磋商小组应当及时以书面形式同时通知所有参加磋商的响应供应商。供应商应当按照竞争性磋商文件的变动情况和磋商小组的要求重新提交响应文件，并由其法定代表人或授权代表签字或者加盖公章。</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Times New Roman" w:hAnsi="Times New Roman" w:eastAsia="宋体" w:cs="宋体"/>
          <w:color w:val="auto"/>
          <w:sz w:val="21"/>
          <w:szCs w:val="21"/>
        </w:rPr>
        <w:t>在磋商中</w:t>
      </w:r>
      <w:r>
        <w:rPr>
          <w:rFonts w:hint="eastAsia" w:ascii="宋体" w:hAnsi="宋体" w:eastAsia="宋体" w:cs="宋体"/>
          <w:color w:val="auto"/>
          <w:sz w:val="21"/>
          <w:szCs w:val="21"/>
          <w:lang w:eastAsia="zh-TW"/>
        </w:rPr>
        <w:t>，磋商小组</w:t>
      </w:r>
      <w:r>
        <w:rPr>
          <w:rFonts w:hint="eastAsia" w:ascii="宋体" w:hAnsi="宋体" w:eastAsia="宋体" w:cs="宋体"/>
          <w:color w:val="auto"/>
          <w:sz w:val="21"/>
          <w:szCs w:val="21"/>
        </w:rPr>
        <w:t>及</w:t>
      </w:r>
      <w:r>
        <w:rPr>
          <w:rFonts w:hint="eastAsia" w:ascii="宋体" w:hAnsi="宋体" w:eastAsia="宋体" w:cs="宋体"/>
          <w:color w:val="auto"/>
          <w:sz w:val="21"/>
          <w:szCs w:val="21"/>
          <w:lang w:eastAsia="zh-TW"/>
        </w:rPr>
        <w:t>有关当事人应当严格遵守保密原则，任何人不得透露与磋商有关的</w:t>
      </w:r>
      <w:r>
        <w:rPr>
          <w:rFonts w:hint="eastAsia" w:ascii="宋体" w:hAnsi="宋体" w:eastAsia="宋体" w:cs="宋体"/>
          <w:color w:val="auto"/>
          <w:sz w:val="21"/>
          <w:szCs w:val="21"/>
        </w:rPr>
        <w:t>其他</w:t>
      </w:r>
      <w:r>
        <w:rPr>
          <w:rFonts w:hint="eastAsia" w:ascii="宋体" w:hAnsi="宋体" w:eastAsia="宋体" w:cs="宋体"/>
          <w:color w:val="auto"/>
          <w:sz w:val="21"/>
          <w:szCs w:val="21"/>
          <w:lang w:eastAsia="zh-TW"/>
        </w:rPr>
        <w:t>响应供应商的技术</w:t>
      </w:r>
      <w:r>
        <w:rPr>
          <w:rFonts w:hint="eastAsia" w:ascii="宋体" w:hAnsi="宋体" w:eastAsia="宋体" w:cs="宋体"/>
          <w:color w:val="auto"/>
          <w:sz w:val="21"/>
          <w:szCs w:val="21"/>
        </w:rPr>
        <w:t>资料</w:t>
      </w:r>
      <w:r>
        <w:rPr>
          <w:rFonts w:hint="eastAsia" w:ascii="宋体" w:hAnsi="宋体" w:eastAsia="宋体" w:cs="宋体"/>
          <w:color w:val="auto"/>
          <w:sz w:val="21"/>
          <w:szCs w:val="21"/>
          <w:lang w:eastAsia="zh-TW"/>
        </w:rPr>
        <w:t>、价格和其他信息。</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竞争性磋商文件能够详细列明采购标的的技术、服务要求的，</w:t>
      </w:r>
      <w:r>
        <w:rPr>
          <w:rFonts w:hint="eastAsia" w:ascii="宋体" w:hAnsi="宋体" w:eastAsia="宋体" w:cs="宋体"/>
          <w:color w:val="auto"/>
          <w:sz w:val="21"/>
          <w:szCs w:val="21"/>
          <w:lang w:eastAsia="zh-TW"/>
        </w:rPr>
        <w:t>磋商结束后，</w:t>
      </w:r>
      <w:r>
        <w:rPr>
          <w:rFonts w:hint="eastAsia" w:ascii="宋体" w:hAnsi="宋体" w:eastAsia="宋体" w:cs="宋体"/>
          <w:color w:val="auto"/>
          <w:sz w:val="21"/>
          <w:szCs w:val="21"/>
        </w:rPr>
        <w:t>磋商小组要求</w:t>
      </w:r>
      <w:r>
        <w:rPr>
          <w:rFonts w:hint="eastAsia" w:ascii="宋体" w:hAnsi="宋体" w:eastAsia="宋体" w:cs="宋体"/>
          <w:color w:val="auto"/>
          <w:sz w:val="21"/>
          <w:szCs w:val="21"/>
          <w:lang w:eastAsia="zh-TW"/>
        </w:rPr>
        <w:t>所有作出实质性响应的有效供应商应在规定的时间内提交最</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TW"/>
        </w:rPr>
        <w:t>报价</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如出现竞争性磋商文件不能详细列明采购标的的技术、服务要求，需经磋商由供应商最终设计方案或解决方案的，</w:t>
      </w:r>
      <w:r>
        <w:rPr>
          <w:rFonts w:hint="eastAsia" w:ascii="宋体" w:hAnsi="宋体" w:eastAsia="宋体" w:cs="宋体"/>
          <w:color w:val="auto"/>
          <w:sz w:val="21"/>
          <w:szCs w:val="21"/>
          <w:lang w:eastAsia="zh-TW"/>
        </w:rPr>
        <w:t>磋商结束后，</w:t>
      </w:r>
      <w:r>
        <w:rPr>
          <w:rFonts w:hint="eastAsia" w:ascii="宋体" w:hAnsi="宋体" w:eastAsia="宋体" w:cs="宋体"/>
          <w:color w:val="auto"/>
          <w:sz w:val="21"/>
          <w:szCs w:val="21"/>
        </w:rPr>
        <w:t>磋商小组按照少数服从多数的原则，投票推荐3家以上供应商的设计方案或者解决方案</w:t>
      </w:r>
      <w:r>
        <w:rPr>
          <w:rFonts w:hint="eastAsia" w:ascii="宋体" w:hAnsi="宋体" w:eastAsia="宋体" w:cs="宋体"/>
          <w:color w:val="auto"/>
          <w:sz w:val="21"/>
          <w:szCs w:val="21"/>
          <w:lang w:eastAsia="zh-TW"/>
        </w:rPr>
        <w:t>在规定的时间内提交最</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TW"/>
        </w:rPr>
        <w:t>报价（最</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TW"/>
        </w:rPr>
        <w:t>报价时间由磋商小组视磋商进程决定）</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最后报价对所有响应供应商进行公开唱出。最后报价是供应商响应文件的有效组成部分。</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认为</w:t>
      </w:r>
      <w:r>
        <w:rPr>
          <w:rFonts w:hint="eastAsia" w:ascii="宋体" w:hAnsi="宋体" w:eastAsia="宋体" w:cs="宋体"/>
          <w:color w:val="auto"/>
          <w:sz w:val="21"/>
          <w:szCs w:val="21"/>
        </w:rPr>
        <w:t>响应供应商</w:t>
      </w:r>
      <w:r>
        <w:rPr>
          <w:rFonts w:hint="eastAsia" w:ascii="宋体" w:hAnsi="宋体" w:eastAsia="宋体" w:cs="宋体"/>
          <w:color w:val="auto"/>
          <w:sz w:val="21"/>
          <w:szCs w:val="21"/>
          <w:lang w:eastAsia="zh-TW"/>
        </w:rPr>
        <w:t>的报价明显低于其他通过</w:t>
      </w:r>
      <w:r>
        <w:rPr>
          <w:rFonts w:hint="eastAsia" w:ascii="宋体" w:hAnsi="宋体" w:eastAsia="宋体" w:cs="宋体"/>
          <w:color w:val="auto"/>
          <w:sz w:val="21"/>
          <w:szCs w:val="21"/>
        </w:rPr>
        <w:t>资格、</w:t>
      </w:r>
      <w:r>
        <w:rPr>
          <w:rFonts w:hint="eastAsia" w:ascii="宋体" w:hAnsi="宋体" w:eastAsia="宋体" w:cs="宋体"/>
          <w:color w:val="auto"/>
          <w:sz w:val="21"/>
          <w:szCs w:val="21"/>
          <w:lang w:eastAsia="zh-TW"/>
        </w:rPr>
        <w:t>符合性审查</w:t>
      </w:r>
      <w:r>
        <w:rPr>
          <w:rFonts w:hint="eastAsia" w:ascii="宋体" w:hAnsi="宋体" w:eastAsia="宋体" w:cs="宋体"/>
          <w:color w:val="auto"/>
          <w:sz w:val="21"/>
          <w:szCs w:val="21"/>
        </w:rPr>
        <w:t>响应供应商</w:t>
      </w:r>
      <w:r>
        <w:rPr>
          <w:rFonts w:hint="eastAsia" w:ascii="宋体" w:hAnsi="宋体" w:eastAsia="宋体" w:cs="宋体"/>
          <w:color w:val="auto"/>
          <w:sz w:val="21"/>
          <w:szCs w:val="21"/>
          <w:lang w:eastAsia="zh-TW"/>
        </w:rPr>
        <w:t>的报价，有可能影响产品质量或者不能诚信履约的，应当要求其在</w:t>
      </w:r>
      <w:r>
        <w:rPr>
          <w:rFonts w:hint="eastAsia" w:ascii="宋体" w:hAnsi="宋体" w:eastAsia="宋体" w:cs="宋体"/>
          <w:color w:val="auto"/>
          <w:sz w:val="21"/>
          <w:szCs w:val="21"/>
        </w:rPr>
        <w:t>磋商</w:t>
      </w:r>
      <w:r>
        <w:rPr>
          <w:rFonts w:hint="eastAsia" w:ascii="宋体" w:hAnsi="宋体" w:eastAsia="宋体" w:cs="宋体"/>
          <w:color w:val="auto"/>
          <w:sz w:val="21"/>
          <w:szCs w:val="21"/>
          <w:lang w:eastAsia="zh-TW"/>
        </w:rPr>
        <w:t>现场合理的时间内提供书面说明，必要时提交相关证明材料；</w:t>
      </w:r>
      <w:r>
        <w:rPr>
          <w:rFonts w:hint="eastAsia" w:ascii="宋体" w:hAnsi="宋体" w:eastAsia="宋体" w:cs="宋体"/>
          <w:color w:val="auto"/>
          <w:sz w:val="21"/>
          <w:szCs w:val="21"/>
        </w:rPr>
        <w:t>响应供应商</w:t>
      </w:r>
      <w:r>
        <w:rPr>
          <w:rFonts w:hint="eastAsia" w:ascii="宋体" w:hAnsi="宋体" w:eastAsia="宋体" w:cs="宋体"/>
          <w:color w:val="auto"/>
          <w:sz w:val="21"/>
          <w:szCs w:val="21"/>
          <w:lang w:eastAsia="zh-TW"/>
        </w:rPr>
        <w:t>不能证明其报价合理性的，</w:t>
      </w:r>
      <w:r>
        <w:rPr>
          <w:rFonts w:hint="eastAsia" w:ascii="宋体" w:hAnsi="宋体" w:eastAsia="宋体" w:cs="宋体"/>
          <w:color w:val="auto"/>
          <w:sz w:val="21"/>
          <w:szCs w:val="21"/>
        </w:rPr>
        <w:t>磋商小组</w:t>
      </w:r>
      <w:r>
        <w:rPr>
          <w:rFonts w:hint="eastAsia" w:ascii="宋体" w:hAnsi="宋体" w:eastAsia="宋体" w:cs="宋体"/>
          <w:color w:val="auto"/>
          <w:sz w:val="21"/>
          <w:szCs w:val="21"/>
          <w:lang w:eastAsia="zh-TW"/>
        </w:rPr>
        <w:t>应当将其作为无效投标处理</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rPr>
          <w:rFonts w:ascii="宋体" w:hAnsi="宋体" w:eastAsia="宋体" w:cs="宋体"/>
          <w:color w:val="auto"/>
          <w:lang w:eastAsia="zh-TW"/>
        </w:rPr>
      </w:pPr>
      <w:r>
        <w:rPr>
          <w:rFonts w:hint="eastAsia" w:ascii="宋体" w:hAnsi="宋体" w:eastAsia="宋体" w:cs="宋体"/>
          <w:color w:val="auto"/>
          <w:sz w:val="21"/>
          <w:szCs w:val="21"/>
        </w:rPr>
        <w:t>报价</w:t>
      </w:r>
      <w:r>
        <w:rPr>
          <w:rFonts w:hint="eastAsia" w:ascii="宋体" w:hAnsi="宋体" w:eastAsia="宋体" w:cs="宋体"/>
          <w:color w:val="auto"/>
          <w:sz w:val="21"/>
          <w:szCs w:val="21"/>
          <w:lang w:eastAsia="zh-TW"/>
        </w:rPr>
        <w:t>修正误差的原则如下：</w:t>
      </w:r>
    </w:p>
    <w:p>
      <w:pPr>
        <w:widowControl w:val="0"/>
        <w:numPr>
          <w:ilvl w:val="2"/>
          <w:numId w:val="60"/>
        </w:numPr>
        <w:tabs>
          <w:tab w:val="left" w:pos="709"/>
          <w:tab w:val="left" w:pos="851"/>
          <w:tab w:val="clear" w:pos="720"/>
        </w:tabs>
        <w:autoSpaceDN w:val="0"/>
        <w:spacing w:after="0" w:line="360" w:lineRule="auto"/>
        <w:jc w:val="both"/>
        <w:rPr>
          <w:rFonts w:ascii="宋体" w:hAnsi="宋体" w:eastAsia="宋体" w:cs="Arial"/>
          <w:color w:val="auto"/>
        </w:rPr>
      </w:pPr>
      <w:r>
        <w:rPr>
          <w:rFonts w:hint="eastAsia" w:ascii="宋体" w:hAnsi="宋体" w:eastAsia="宋体" w:cs="宋体"/>
          <w:bCs/>
          <w:color w:val="auto"/>
          <w:sz w:val="21"/>
          <w:szCs w:val="21"/>
        </w:rPr>
        <w:t>响应文件中的大写金额和小写金额不一致的，以大写金额为准；</w:t>
      </w:r>
    </w:p>
    <w:p>
      <w:pPr>
        <w:widowControl w:val="0"/>
        <w:numPr>
          <w:ilvl w:val="2"/>
          <w:numId w:val="60"/>
        </w:numPr>
        <w:tabs>
          <w:tab w:val="left" w:pos="851"/>
        </w:tabs>
        <w:autoSpaceDN w:val="0"/>
        <w:spacing w:after="0" w:line="360" w:lineRule="auto"/>
        <w:jc w:val="both"/>
        <w:rPr>
          <w:rFonts w:ascii="宋体" w:hAnsi="宋体" w:eastAsia="宋体" w:cs="宋体"/>
          <w:bCs/>
          <w:color w:val="auto"/>
        </w:rPr>
      </w:pPr>
      <w:r>
        <w:rPr>
          <w:rFonts w:hint="eastAsia" w:ascii="宋体" w:hAnsi="宋体" w:eastAsia="宋体" w:cs="宋体"/>
          <w:color w:val="auto"/>
          <w:sz w:val="21"/>
          <w:szCs w:val="21"/>
          <w:lang w:eastAsia="zh-TW"/>
        </w:rPr>
        <w:t>单价金额小数点或者百分比有明显错位的，以</w:t>
      </w:r>
      <w:r>
        <w:rPr>
          <w:rFonts w:hint="eastAsia" w:ascii="宋体" w:hAnsi="宋体" w:eastAsia="宋体" w:cs="宋体"/>
          <w:color w:val="auto"/>
          <w:sz w:val="21"/>
          <w:szCs w:val="21"/>
        </w:rPr>
        <w:t>报价表</w:t>
      </w:r>
      <w:r>
        <w:rPr>
          <w:rFonts w:hint="eastAsia" w:ascii="宋体" w:hAnsi="宋体" w:eastAsia="宋体" w:cs="宋体"/>
          <w:color w:val="auto"/>
          <w:sz w:val="21"/>
          <w:szCs w:val="21"/>
          <w:lang w:eastAsia="zh-TW"/>
        </w:rPr>
        <w:t>的总价为准，并修改单价</w:t>
      </w:r>
      <w:r>
        <w:rPr>
          <w:rFonts w:hint="eastAsia" w:ascii="宋体" w:hAnsi="宋体" w:eastAsia="宋体" w:cs="宋体"/>
          <w:bCs/>
          <w:color w:val="auto"/>
          <w:sz w:val="21"/>
          <w:szCs w:val="21"/>
        </w:rPr>
        <w:t>；</w:t>
      </w:r>
    </w:p>
    <w:p>
      <w:pPr>
        <w:widowControl w:val="0"/>
        <w:numPr>
          <w:ilvl w:val="2"/>
          <w:numId w:val="60"/>
        </w:numPr>
        <w:tabs>
          <w:tab w:val="left" w:pos="851"/>
        </w:tabs>
        <w:autoSpaceDN w:val="0"/>
        <w:spacing w:after="0" w:line="360" w:lineRule="auto"/>
        <w:jc w:val="both"/>
        <w:rPr>
          <w:rFonts w:ascii="宋体" w:hAnsi="宋体" w:eastAsia="宋体" w:cs="宋体"/>
          <w:bCs/>
          <w:color w:val="auto"/>
        </w:rPr>
      </w:pPr>
      <w:r>
        <w:rPr>
          <w:rFonts w:hint="eastAsia" w:ascii="宋体" w:hAnsi="宋体" w:eastAsia="宋体" w:cs="宋体"/>
          <w:color w:val="auto"/>
          <w:sz w:val="21"/>
          <w:szCs w:val="21"/>
          <w:lang w:eastAsia="zh-TW"/>
        </w:rPr>
        <w:t>总价金额与按单价汇总金额不一致的，以单价金额计算结果为准</w:t>
      </w:r>
    </w:p>
    <w:p>
      <w:pPr>
        <w:widowControl w:val="0"/>
        <w:tabs>
          <w:tab w:val="left" w:pos="851"/>
        </w:tabs>
        <w:autoSpaceDN w:val="0"/>
        <w:spacing w:after="0" w:line="360" w:lineRule="auto"/>
        <w:ind w:left="720"/>
        <w:jc w:val="both"/>
        <w:rPr>
          <w:rFonts w:ascii="宋体" w:hAnsi="宋体" w:eastAsia="宋体" w:cs="宋体"/>
          <w:bCs/>
          <w:color w:val="auto"/>
        </w:rPr>
      </w:pPr>
      <w:r>
        <w:rPr>
          <w:rFonts w:hint="eastAsia" w:ascii="宋体" w:hAnsi="宋体" w:eastAsia="宋体" w:cs="宋体"/>
          <w:color w:val="auto"/>
          <w:sz w:val="21"/>
          <w:szCs w:val="21"/>
          <w:lang w:eastAsia="zh-TW"/>
        </w:rPr>
        <w:t>同时出现两种以上不一致的，按照前款规定的顺序修正。磋商小组按上述修正误差的原则调整的价格对其响应供应商具有约束力。如果响应供应商不接受修正后的价格，其报价将被拒绝</w:t>
      </w:r>
      <w:r>
        <w:rPr>
          <w:rFonts w:hint="eastAsia" w:ascii="宋体" w:hAnsi="宋体" w:eastAsia="宋体" w:cs="宋体"/>
          <w:color w:val="auto"/>
          <w:sz w:val="21"/>
          <w:szCs w:val="21"/>
        </w:rPr>
        <w:t>。</w:t>
      </w:r>
    </w:p>
    <w:p>
      <w:pPr>
        <w:widowControl w:val="0"/>
        <w:numPr>
          <w:ilvl w:val="2"/>
          <w:numId w:val="60"/>
        </w:numPr>
        <w:tabs>
          <w:tab w:val="left" w:pos="709"/>
          <w:tab w:val="left" w:pos="851"/>
          <w:tab w:val="clear" w:pos="720"/>
        </w:tabs>
        <w:autoSpaceDN w:val="0"/>
        <w:spacing w:after="0" w:line="360" w:lineRule="auto"/>
        <w:jc w:val="both"/>
        <w:rPr>
          <w:rFonts w:ascii="宋体" w:hAnsi="宋体" w:eastAsia="宋体" w:cs="宋体"/>
          <w:bCs/>
          <w:color w:val="auto"/>
        </w:rPr>
      </w:pPr>
      <w:r>
        <w:rPr>
          <w:rFonts w:hint="eastAsia" w:ascii="宋体" w:hAnsi="宋体" w:eastAsia="宋体" w:cs="宋体"/>
          <w:bCs/>
          <w:color w:val="auto"/>
          <w:sz w:val="21"/>
          <w:szCs w:val="21"/>
        </w:rPr>
        <w:t>对不同文字文本响应文件的解释发生异议的，以中文文本为准；</w:t>
      </w:r>
    </w:p>
    <w:p>
      <w:pPr>
        <w:widowControl w:val="0"/>
        <w:numPr>
          <w:ilvl w:val="1"/>
          <w:numId w:val="60"/>
        </w:numPr>
        <w:tabs>
          <w:tab w:val="left" w:pos="709"/>
          <w:tab w:val="clear" w:pos="360"/>
        </w:tabs>
        <w:autoSpaceDE w:val="0"/>
        <w:autoSpaceDN w:val="0"/>
        <w:spacing w:after="0" w:line="360" w:lineRule="auto"/>
        <w:ind w:left="709" w:hanging="709"/>
        <w:rPr>
          <w:color w:val="auto"/>
        </w:rPr>
      </w:pPr>
      <w:r>
        <w:rPr>
          <w:rFonts w:hint="eastAsia" w:ascii="Times New Roman" w:hAnsi="Times New Roman" w:eastAsia="宋体" w:cs="宋体"/>
          <w:color w:val="auto"/>
          <w:sz w:val="21"/>
          <w:szCs w:val="21"/>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 xml:space="preserve">出现下列情形之一的，采购人终止竞争性磋商采购活动： </w:t>
      </w:r>
    </w:p>
    <w:p>
      <w:pPr>
        <w:widowControl w:val="0"/>
        <w:numPr>
          <w:ilvl w:val="2"/>
          <w:numId w:val="60"/>
        </w:numPr>
        <w:tabs>
          <w:tab w:val="left" w:pos="851"/>
        </w:tabs>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因情况变化，不再符合规定的竞争性磋商采购方式适用情形的；</w:t>
      </w:r>
    </w:p>
    <w:p>
      <w:pPr>
        <w:widowControl w:val="0"/>
        <w:numPr>
          <w:ilvl w:val="2"/>
          <w:numId w:val="60"/>
        </w:numPr>
        <w:tabs>
          <w:tab w:val="left" w:pos="851"/>
        </w:tabs>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出现影响采购公正的违法、违规行为的；</w:t>
      </w:r>
    </w:p>
    <w:p>
      <w:pPr>
        <w:widowControl w:val="0"/>
        <w:numPr>
          <w:ilvl w:val="2"/>
          <w:numId w:val="60"/>
        </w:numPr>
        <w:tabs>
          <w:tab w:val="left" w:pos="851"/>
        </w:tabs>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除法律法规规定的情形外，在采购过程中符合要求的供应商或者报价未超过采购预算的供应商不足3家的。</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最后报价是供应商响应文件的有效组成部分。符合“市场竞争不充分的科研项目，以及需要扶持的科技成果转化项目”情形的，提交最后报价的供应商可以为2家。</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政府购买服务项目（含政府和社会资本合作项目），在采购过程中符合要求的供应商（社会资本）只有2家的，竞争性磋商采购活动可以继续进行。</w:t>
      </w:r>
      <w:bookmarkStart w:id="249" w:name="_Toc434343677"/>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r>
        <w:rPr>
          <w:rFonts w:hint="eastAsia" w:ascii="宋体" w:hAnsi="宋体" w:eastAsia="宋体" w:cs="宋体"/>
          <w:b/>
          <w:color w:val="auto"/>
          <w:sz w:val="21"/>
          <w:szCs w:val="21"/>
        </w:rPr>
        <w:t>评审方法和标准</w:t>
      </w:r>
      <w:bookmarkEnd w:id="249"/>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磋商结束后，所有作出实质性响应的有效供应商应在规定的时间内集中密封提交最后报价（最后报价时间视磋商进程由磋商小组决定），最后报价是供应商响应文件的有效组成部分。</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磋商小组将按照</w:t>
      </w:r>
      <w:r>
        <w:rPr>
          <w:rFonts w:hint="eastAsia" w:ascii="宋体" w:hAnsi="宋体" w:eastAsia="宋体" w:cs="宋体"/>
          <w:b/>
          <w:color w:val="auto"/>
          <w:sz w:val="21"/>
          <w:szCs w:val="21"/>
          <w:lang w:eastAsia="zh-TW"/>
        </w:rPr>
        <w:t>磋商资料表</w:t>
      </w:r>
      <w:r>
        <w:rPr>
          <w:rFonts w:hint="eastAsia" w:ascii="宋体" w:hAnsi="宋体" w:eastAsia="宋体" w:cs="宋体"/>
          <w:color w:val="auto"/>
          <w:sz w:val="21"/>
          <w:szCs w:val="21"/>
          <w:lang w:eastAsia="zh-TW"/>
        </w:rPr>
        <w:t>中确定的评标方法</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TW"/>
        </w:rPr>
        <w:t>本竞争性磋商文件第</w:t>
      </w:r>
      <w:r>
        <w:rPr>
          <w:rFonts w:hint="eastAsia" w:ascii="宋体" w:hAnsi="宋体" w:eastAsia="宋体" w:cs="宋体"/>
          <w:color w:val="auto"/>
          <w:sz w:val="21"/>
          <w:szCs w:val="21"/>
        </w:rPr>
        <w:t>三</w:t>
      </w:r>
      <w:r>
        <w:rPr>
          <w:rFonts w:hint="eastAsia" w:ascii="宋体" w:hAnsi="宋体" w:eastAsia="宋体" w:cs="宋体"/>
          <w:color w:val="auto"/>
          <w:sz w:val="21"/>
          <w:szCs w:val="21"/>
          <w:lang w:eastAsia="zh-TW"/>
        </w:rPr>
        <w:t>章中</w:t>
      </w:r>
      <w:r>
        <w:rPr>
          <w:rFonts w:hint="eastAsia" w:ascii="宋体" w:hAnsi="宋体" w:eastAsia="宋体" w:cs="宋体"/>
          <w:color w:val="auto"/>
          <w:sz w:val="21"/>
          <w:szCs w:val="21"/>
        </w:rPr>
        <w:t>的评审标准</w:t>
      </w:r>
      <w:r>
        <w:rPr>
          <w:rFonts w:hint="eastAsia" w:ascii="宋体" w:hAnsi="宋体" w:eastAsia="宋体" w:cs="宋体"/>
          <w:color w:val="auto"/>
          <w:sz w:val="21"/>
          <w:szCs w:val="21"/>
          <w:lang w:eastAsia="zh-TW"/>
        </w:rPr>
        <w:t>进行评标。</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除</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另有规定的，</w:t>
      </w:r>
      <w:r>
        <w:rPr>
          <w:rFonts w:hint="eastAsia" w:ascii="宋体" w:hAnsi="宋体" w:eastAsia="宋体" w:cs="宋体"/>
          <w:color w:val="auto"/>
          <w:sz w:val="21"/>
          <w:szCs w:val="21"/>
          <w:lang w:eastAsia="zh-TW"/>
        </w:rPr>
        <w:t>磋商小组</w:t>
      </w:r>
      <w:r>
        <w:rPr>
          <w:rFonts w:hint="eastAsia" w:ascii="宋体" w:hAnsi="宋体" w:eastAsia="宋体" w:cs="宋体"/>
          <w:color w:val="auto"/>
          <w:sz w:val="21"/>
          <w:szCs w:val="21"/>
        </w:rPr>
        <w:t>根据综合评分情况按照评审得分由高到低推荐3名成交候选人。评标总得分相同的，按下列顺序比较确定：（1）磋商报价（由低到高）；（2）技术部分（或技术商务部分）得分（由高到低）；（3）技术部分（或技术商务部分）评审项目中分值权重占技术部分（或技术商务部分）总分值权重由高到低的次序（得分由高到低）。除</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另有规定的，推荐综合得分排名第一的响应供应商为第一成交候选人，排名第二的响应供应商为第二成交候选人，排名第三的响应供应商为第三成交候选人。第二成交候选人报价高于第一成交候选人报价20%以上的，只推荐1名成交候选人，第三成交候选人报价高于第二成交候选人报价20%以上的，只推荐2名成交候选人。</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采用综合评分法的，</w:t>
      </w:r>
      <w:r>
        <w:rPr>
          <w:rFonts w:hint="eastAsia" w:ascii="宋体" w:hAnsi="宋体" w:eastAsia="宋体" w:cs="宋体"/>
          <w:color w:val="auto"/>
          <w:sz w:val="21"/>
          <w:szCs w:val="21"/>
          <w:lang w:eastAsia="zh-TW"/>
        </w:rPr>
        <w:t>单一产品采购</w:t>
      </w:r>
      <w:r>
        <w:rPr>
          <w:rFonts w:hint="eastAsia" w:ascii="宋体" w:hAnsi="宋体" w:eastAsia="宋体" w:cs="宋体"/>
          <w:color w:val="auto"/>
          <w:sz w:val="21"/>
          <w:szCs w:val="21"/>
        </w:rPr>
        <w:t>项目</w:t>
      </w:r>
      <w:r>
        <w:rPr>
          <w:rFonts w:hint="eastAsia" w:ascii="宋体" w:hAnsi="宋体" w:eastAsia="宋体" w:cs="宋体"/>
          <w:color w:val="auto"/>
          <w:sz w:val="21"/>
          <w:szCs w:val="21"/>
          <w:lang w:eastAsia="zh-TW"/>
        </w:rPr>
        <w:t>提供相同品牌产品或</w:t>
      </w:r>
      <w:r>
        <w:rPr>
          <w:rFonts w:hint="eastAsia" w:ascii="宋体" w:hAnsi="宋体" w:eastAsia="宋体" w:cs="宋体"/>
          <w:color w:val="auto"/>
          <w:sz w:val="21"/>
          <w:szCs w:val="21"/>
        </w:rPr>
        <w:t>非单一产品采购项目多家响应供应商提供的核心产品品牌相同的，</w:t>
      </w:r>
      <w:r>
        <w:rPr>
          <w:rFonts w:hint="eastAsia" w:ascii="宋体" w:hAnsi="宋体" w:eastAsia="宋体" w:cs="宋体"/>
          <w:color w:val="auto"/>
          <w:sz w:val="21"/>
          <w:szCs w:val="21"/>
          <w:lang w:eastAsia="zh-TW"/>
        </w:rPr>
        <w:t>且通过资格、符合性审查的不同响应供应商参加同一合同项下投标的，按一家响应供应商计算，评审后得分最高的同品牌响应供应商获得</w:t>
      </w:r>
      <w:r>
        <w:rPr>
          <w:rFonts w:hint="eastAsia" w:ascii="宋体" w:hAnsi="宋体" w:eastAsia="宋体" w:cs="宋体"/>
          <w:color w:val="auto"/>
          <w:sz w:val="21"/>
          <w:szCs w:val="21"/>
        </w:rPr>
        <w:t>成交供应商</w:t>
      </w:r>
      <w:r>
        <w:rPr>
          <w:rFonts w:hint="eastAsia" w:ascii="宋体" w:hAnsi="宋体" w:eastAsia="宋体" w:cs="宋体"/>
          <w:color w:val="auto"/>
          <w:sz w:val="21"/>
          <w:szCs w:val="21"/>
          <w:lang w:eastAsia="zh-TW"/>
        </w:rPr>
        <w:t>推荐资格；评审得分相同的，</w:t>
      </w:r>
      <w:r>
        <w:rPr>
          <w:rFonts w:hint="eastAsia" w:ascii="宋体" w:hAnsi="宋体" w:eastAsia="宋体" w:cs="宋体"/>
          <w:color w:val="auto"/>
          <w:sz w:val="21"/>
          <w:szCs w:val="21"/>
        </w:rPr>
        <w:t>按27.3中的顺序确定</w:t>
      </w:r>
      <w:r>
        <w:rPr>
          <w:rFonts w:hint="eastAsia" w:ascii="宋体" w:hAnsi="宋体" w:eastAsia="宋体" w:cs="宋体"/>
          <w:color w:val="auto"/>
          <w:sz w:val="21"/>
          <w:szCs w:val="21"/>
          <w:lang w:eastAsia="zh-TW"/>
        </w:rPr>
        <w:t>，其他同品牌响应供应商不作为</w:t>
      </w:r>
      <w:r>
        <w:rPr>
          <w:rFonts w:hint="eastAsia" w:ascii="宋体" w:hAnsi="宋体" w:eastAsia="宋体" w:cs="宋体"/>
          <w:color w:val="auto"/>
          <w:sz w:val="21"/>
          <w:szCs w:val="21"/>
        </w:rPr>
        <w:t>成交</w:t>
      </w:r>
      <w:r>
        <w:rPr>
          <w:rFonts w:hint="eastAsia" w:ascii="宋体" w:hAnsi="宋体" w:eastAsia="宋体" w:cs="宋体"/>
          <w:color w:val="auto"/>
          <w:sz w:val="21"/>
          <w:szCs w:val="21"/>
          <w:lang w:eastAsia="zh-TW"/>
        </w:rPr>
        <w:t>候选人</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lang w:eastAsia="zh-TW"/>
        </w:rPr>
        <w:t>磋商小组提交评审报告和推荐成交意见报采购人确认</w:t>
      </w:r>
      <w:r>
        <w:rPr>
          <w:rFonts w:hint="eastAsia" w:ascii="宋体" w:hAnsi="宋体" w:eastAsia="宋体" w:cs="宋体"/>
          <w:color w:val="auto"/>
          <w:sz w:val="21"/>
          <w:szCs w:val="21"/>
        </w:rPr>
        <w:t>，采购人在收到评审报告后在规定时间内，按照评审报告中推荐的成交候选人顺序确定成交供应商，也可以事先授权磋商小组直接确定成交供应商。</w:t>
      </w:r>
    </w:p>
    <w:p>
      <w:pPr>
        <w:widowControl w:val="0"/>
        <w:autoSpaceDE w:val="0"/>
        <w:autoSpaceDN w:val="0"/>
        <w:spacing w:after="0" w:line="360" w:lineRule="auto"/>
        <w:ind w:left="709"/>
        <w:jc w:val="center"/>
        <w:rPr>
          <w:rFonts w:ascii="宋体" w:hAnsi="宋体" w:eastAsia="宋体" w:cs="宋体"/>
          <w:b/>
          <w:strike/>
          <w:color w:val="auto"/>
        </w:rPr>
      </w:pPr>
      <w:r>
        <w:rPr>
          <w:rFonts w:hint="eastAsia" w:ascii="宋体" w:hAnsi="宋体" w:eastAsia="宋体" w:cs="宋体"/>
          <w:b/>
          <w:color w:val="auto"/>
          <w:sz w:val="28"/>
          <w:szCs w:val="28"/>
        </w:rPr>
        <w:t>六</w:t>
      </w:r>
      <w:r>
        <w:rPr>
          <w:rFonts w:hint="eastAsia" w:ascii="宋体" w:hAnsi="宋体" w:eastAsia="宋体" w:cs="宋体"/>
          <w:b/>
          <w:color w:val="auto"/>
          <w:sz w:val="28"/>
          <w:szCs w:val="28"/>
          <w:lang w:eastAsia="zh-TW"/>
        </w:rPr>
        <w:t>、</w:t>
      </w:r>
      <w:r>
        <w:rPr>
          <w:rFonts w:hint="eastAsia" w:ascii="宋体" w:hAnsi="宋体" w:eastAsia="宋体" w:cs="宋体"/>
          <w:b/>
          <w:color w:val="auto"/>
          <w:sz w:val="28"/>
          <w:szCs w:val="28"/>
        </w:rPr>
        <w:t>成交结果</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50" w:name="_Toc410736164"/>
      <w:bookmarkStart w:id="251" w:name="_Toc410738964"/>
      <w:bookmarkStart w:id="252" w:name="_Toc378586986"/>
      <w:bookmarkStart w:id="253" w:name="_Toc416771350"/>
      <w:bookmarkStart w:id="254" w:name="_Toc416770240"/>
      <w:r>
        <w:rPr>
          <w:rFonts w:hint="eastAsia" w:ascii="宋体" w:hAnsi="宋体" w:eastAsia="宋体" w:cs="宋体"/>
          <w:b/>
          <w:color w:val="auto"/>
          <w:sz w:val="21"/>
          <w:szCs w:val="21"/>
        </w:rPr>
        <w:t>确定成交结果</w:t>
      </w:r>
      <w:bookmarkEnd w:id="250"/>
      <w:bookmarkEnd w:id="251"/>
      <w:bookmarkEnd w:id="252"/>
      <w:bookmarkEnd w:id="253"/>
      <w:bookmarkEnd w:id="254"/>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成交供应商确定后，采购代理机构将发布采购信息公告的媒体</w:t>
      </w:r>
      <w:r>
        <w:rPr>
          <w:rFonts w:hint="eastAsia" w:ascii="宋体" w:hAnsi="宋体" w:eastAsia="宋体" w:cs="宋体"/>
          <w:color w:val="auto"/>
          <w:sz w:val="21"/>
          <w:szCs w:val="21"/>
          <w:lang w:eastAsia="zh-TW"/>
        </w:rPr>
        <w:t>上</w:t>
      </w:r>
      <w:r>
        <w:rPr>
          <w:rFonts w:hint="eastAsia" w:ascii="宋体" w:hAnsi="宋体" w:eastAsia="宋体" w:cs="宋体"/>
          <w:color w:val="auto"/>
          <w:sz w:val="21"/>
          <w:szCs w:val="21"/>
        </w:rPr>
        <w:t>发布成交结果公告。不在成交名单之列者即为未成交供应商，采购代理机构不再以其他方式另行通知。</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成交结果公告后，采购代理机构同时向成交供应商发出《成交通知书》，向采购人及未成交供应商发出《成交结果通知书》，《成交通知书》对成交供应商和采购人具有同等法律效力。</w:t>
      </w:r>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rPr>
      </w:pPr>
      <w:r>
        <w:rPr>
          <w:rFonts w:hint="eastAsia" w:ascii="宋体" w:hAnsi="宋体" w:eastAsia="宋体" w:cs="宋体"/>
          <w:color w:val="auto"/>
          <w:sz w:val="21"/>
          <w:szCs w:val="21"/>
        </w:rPr>
        <w:t>《成交通知书》将作为授予合同资格的合法依据，是合同的一个组成部分。</w:t>
      </w:r>
    </w:p>
    <w:p>
      <w:pPr>
        <w:widowControl w:val="0"/>
        <w:autoSpaceDE w:val="0"/>
        <w:autoSpaceDN w:val="0"/>
        <w:spacing w:after="0" w:line="360" w:lineRule="auto"/>
        <w:ind w:left="709"/>
        <w:jc w:val="center"/>
        <w:rPr>
          <w:rFonts w:ascii="宋体" w:hAnsi="宋体" w:eastAsia="宋体" w:cs="宋体"/>
          <w:color w:val="auto"/>
        </w:rPr>
      </w:pPr>
      <w:r>
        <w:rPr>
          <w:rFonts w:hint="eastAsia" w:ascii="宋体" w:hAnsi="宋体" w:eastAsia="宋体" w:cs="宋体"/>
          <w:b/>
          <w:color w:val="auto"/>
          <w:sz w:val="28"/>
          <w:szCs w:val="28"/>
        </w:rPr>
        <w:t>七</w:t>
      </w:r>
      <w:r>
        <w:rPr>
          <w:rFonts w:hint="eastAsia" w:ascii="宋体" w:hAnsi="宋体" w:eastAsia="宋体" w:cs="宋体"/>
          <w:b/>
          <w:color w:val="auto"/>
          <w:sz w:val="28"/>
          <w:szCs w:val="28"/>
          <w:lang w:eastAsia="zh-TW"/>
        </w:rPr>
        <w:t>、询问、质疑、投诉</w:t>
      </w:r>
    </w:p>
    <w:p>
      <w:pPr>
        <w:widowControl w:val="0"/>
        <w:numPr>
          <w:ilvl w:val="0"/>
          <w:numId w:val="60"/>
        </w:numPr>
        <w:autoSpaceDE w:val="0"/>
        <w:autoSpaceDN w:val="0"/>
        <w:spacing w:after="0" w:line="360" w:lineRule="auto"/>
        <w:ind w:left="357" w:hanging="357"/>
        <w:jc w:val="both"/>
        <w:outlineLvl w:val="2"/>
        <w:rPr>
          <w:rFonts w:ascii="宋体" w:hAnsi="宋体" w:eastAsia="宋体" w:cs="黑体"/>
          <w:b/>
          <w:color w:val="auto"/>
        </w:rPr>
      </w:pPr>
      <w:bookmarkStart w:id="255" w:name="_Toc410736166"/>
      <w:bookmarkStart w:id="256" w:name="_Toc416771352"/>
      <w:bookmarkStart w:id="257" w:name="_Toc410738966"/>
      <w:bookmarkStart w:id="258" w:name="_Toc416770242"/>
      <w:r>
        <w:rPr>
          <w:rFonts w:hint="eastAsia" w:ascii="宋体" w:hAnsi="宋体" w:eastAsia="宋体" w:cs="黑体"/>
          <w:b/>
          <w:color w:val="auto"/>
          <w:sz w:val="21"/>
          <w:szCs w:val="21"/>
        </w:rPr>
        <w:t>询问</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黑体"/>
          <w:bCs/>
          <w:color w:val="auto"/>
        </w:rPr>
      </w:pPr>
      <w:r>
        <w:rPr>
          <w:rFonts w:hint="eastAsia" w:ascii="宋体" w:hAnsi="宋体" w:eastAsia="宋体" w:cs="黑体"/>
          <w:bCs/>
          <w:color w:val="auto"/>
          <w:sz w:val="21"/>
          <w:szCs w:val="21"/>
        </w:rPr>
        <w:t>供应商对政府采购活动事项有疑问的，可以向采购人提出询问，询问可以口头方式提出，也可以书面方式提出。</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黑体"/>
          <w:bCs/>
          <w:color w:val="auto"/>
        </w:rPr>
      </w:pPr>
      <w:r>
        <w:rPr>
          <w:rFonts w:hint="eastAsia" w:ascii="宋体" w:hAnsi="宋体" w:eastAsia="宋体" w:cs="黑体"/>
          <w:bCs/>
          <w:color w:val="auto"/>
          <w:sz w:val="21"/>
          <w:szCs w:val="21"/>
        </w:rPr>
        <w:t>如采用书面方式提出询问，供应商为自然人的，询问函应当由本人签字；供应商为法人或者其他组织的，应当由法定代表人、主要负责人或授权代表签字或者盖章，并加盖公章。响应供应商递交询问函时非法定代表人亲自办理的需提供法定代表人授权委托书（应载明授权代表的姓名或者名称、代理事项、具体权限、期限和相关事项）及授权代表身份证复印件。</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黑体"/>
          <w:bCs/>
          <w:color w:val="auto"/>
        </w:rPr>
      </w:pPr>
      <w:r>
        <w:rPr>
          <w:rFonts w:hint="eastAsia" w:ascii="宋体" w:hAnsi="宋体" w:eastAsia="宋体" w:cs="黑体"/>
          <w:bCs/>
          <w:color w:val="auto"/>
          <w:sz w:val="21"/>
          <w:szCs w:val="21"/>
        </w:rPr>
        <w:t>采购人在三个工作日内对供应商依法提出的询问作出答复。</w:t>
      </w:r>
    </w:p>
    <w:p>
      <w:pPr>
        <w:widowControl w:val="0"/>
        <w:numPr>
          <w:ilvl w:val="0"/>
          <w:numId w:val="60"/>
        </w:numPr>
        <w:autoSpaceDE w:val="0"/>
        <w:autoSpaceDN w:val="0"/>
        <w:spacing w:after="0" w:line="360" w:lineRule="auto"/>
        <w:ind w:left="357" w:hanging="357"/>
        <w:jc w:val="both"/>
        <w:outlineLvl w:val="2"/>
        <w:rPr>
          <w:rFonts w:ascii="宋体" w:hAnsi="宋体" w:eastAsia="宋体" w:cs="黑体"/>
          <w:b/>
          <w:color w:val="auto"/>
        </w:rPr>
      </w:pPr>
      <w:r>
        <w:rPr>
          <w:rFonts w:hint="eastAsia" w:ascii="宋体" w:hAnsi="宋体" w:eastAsia="宋体" w:cs="黑体"/>
          <w:b/>
          <w:color w:val="auto"/>
          <w:sz w:val="21"/>
          <w:szCs w:val="21"/>
        </w:rPr>
        <w:t>质疑</w:t>
      </w:r>
    </w:p>
    <w:p>
      <w:pPr>
        <w:widowControl w:val="0"/>
        <w:numPr>
          <w:ilvl w:val="1"/>
          <w:numId w:val="60"/>
        </w:numPr>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质疑期限：</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供应商认为</w:t>
      </w:r>
      <w:r>
        <w:rPr>
          <w:rFonts w:hint="eastAsia" w:ascii="宋体" w:hAnsi="宋体" w:eastAsia="宋体" w:cs="黑体"/>
          <w:bCs/>
          <w:color w:val="auto"/>
          <w:sz w:val="21"/>
          <w:szCs w:val="21"/>
          <w:u w:val="double"/>
        </w:rPr>
        <w:t>采购文件的内容</w:t>
      </w:r>
      <w:r>
        <w:rPr>
          <w:rFonts w:hint="eastAsia" w:ascii="宋体" w:hAnsi="宋体" w:eastAsia="宋体" w:cs="黑体"/>
          <w:bCs/>
          <w:color w:val="auto"/>
          <w:sz w:val="21"/>
          <w:szCs w:val="21"/>
        </w:rPr>
        <w:t>损害其权益的，应在收到采购文件之日或者采购文件公告期届满之日起七个工作日内。（注：供应商收到采购文件之日早于采购文件公告期限届满之日的，则以供应商收到采购文件之日为质疑时效期间的起算日期；否则，以采购文件公告期限届满之日为质疑时效期间的起算日期）</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供应商认为</w:t>
      </w:r>
      <w:r>
        <w:rPr>
          <w:rFonts w:hint="eastAsia" w:ascii="宋体" w:hAnsi="宋体" w:eastAsia="宋体" w:cs="黑体"/>
          <w:bCs/>
          <w:color w:val="auto"/>
          <w:sz w:val="21"/>
          <w:szCs w:val="21"/>
          <w:u w:val="double"/>
        </w:rPr>
        <w:t>采购过程</w:t>
      </w:r>
      <w:r>
        <w:rPr>
          <w:rFonts w:hint="eastAsia" w:ascii="宋体" w:hAnsi="宋体" w:eastAsia="宋体" w:cs="黑体"/>
          <w:bCs/>
          <w:color w:val="auto"/>
          <w:sz w:val="21"/>
          <w:szCs w:val="21"/>
        </w:rPr>
        <w:t>损害其权益的，应在各采购程序环节结束之日起七个工作日内。</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供应商认为</w:t>
      </w:r>
      <w:r>
        <w:rPr>
          <w:rFonts w:hint="eastAsia" w:ascii="宋体" w:hAnsi="宋体" w:eastAsia="宋体" w:cs="黑体"/>
          <w:bCs/>
          <w:color w:val="auto"/>
          <w:sz w:val="21"/>
          <w:szCs w:val="21"/>
          <w:u w:val="double"/>
        </w:rPr>
        <w:t>中标或者成交结果</w:t>
      </w:r>
      <w:r>
        <w:rPr>
          <w:rFonts w:hint="eastAsia" w:ascii="宋体" w:hAnsi="宋体" w:eastAsia="宋体" w:cs="黑体"/>
          <w:bCs/>
          <w:color w:val="auto"/>
          <w:sz w:val="21"/>
          <w:szCs w:val="21"/>
        </w:rPr>
        <w:t>损害其权益的，应在中标或者成交结果公告期限届满之日起七个工作日内。</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提交要求：</w:t>
      </w:r>
    </w:p>
    <w:p>
      <w:pPr>
        <w:widowControl w:val="0"/>
        <w:numPr>
          <w:ilvl w:val="3"/>
          <w:numId w:val="60"/>
        </w:numPr>
        <w:tabs>
          <w:tab w:val="left" w:pos="993"/>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以书面形式向采购人或者采购代理机构</w:t>
      </w:r>
      <w:r>
        <w:rPr>
          <w:rFonts w:hint="eastAsia" w:ascii="宋体" w:hAnsi="宋体" w:eastAsia="宋体" w:cs="宋体"/>
          <w:color w:val="auto"/>
          <w:sz w:val="21"/>
          <w:szCs w:val="21"/>
        </w:rPr>
        <w:t>一次性提出针对同一采购程序环节的</w:t>
      </w:r>
      <w:r>
        <w:rPr>
          <w:rFonts w:hint="eastAsia" w:ascii="宋体" w:hAnsi="宋体" w:eastAsia="宋体" w:cs="黑体"/>
          <w:bCs/>
          <w:color w:val="auto"/>
          <w:sz w:val="21"/>
          <w:szCs w:val="21"/>
        </w:rPr>
        <w:t>质疑。</w:t>
      </w:r>
    </w:p>
    <w:p>
      <w:pPr>
        <w:widowControl w:val="0"/>
        <w:numPr>
          <w:ilvl w:val="3"/>
          <w:numId w:val="60"/>
        </w:numPr>
        <w:tabs>
          <w:tab w:val="left" w:pos="993"/>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以联合体形式参加政府采购活动的，其质疑应当由组成联合体的所有供应商共同提出。</w:t>
      </w:r>
    </w:p>
    <w:p>
      <w:pPr>
        <w:widowControl w:val="0"/>
        <w:numPr>
          <w:ilvl w:val="3"/>
          <w:numId w:val="60"/>
        </w:numPr>
        <w:tabs>
          <w:tab w:val="left" w:pos="993"/>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响应供应商递交质疑函时非法定代表人亲自办理的需提供法定代表人授权委托书（应载明授权代表的姓名或者名称、代理事项、具体权限、期限和相关事项）及授权代表身份证复印件。</w:t>
      </w:r>
    </w:p>
    <w:p>
      <w:pPr>
        <w:widowControl w:val="0"/>
        <w:numPr>
          <w:ilvl w:val="3"/>
          <w:numId w:val="60"/>
        </w:numPr>
        <w:tabs>
          <w:tab w:val="left" w:pos="993"/>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供应商捏造事实、提供虚假材料或者以非法手段取得证明材料不能作为质疑的证明材料。</w:t>
      </w:r>
    </w:p>
    <w:p>
      <w:pPr>
        <w:widowControl w:val="0"/>
        <w:numPr>
          <w:ilvl w:val="3"/>
          <w:numId w:val="60"/>
        </w:numPr>
        <w:tabs>
          <w:tab w:val="left" w:pos="993"/>
        </w:tabs>
        <w:autoSpaceDE w:val="0"/>
        <w:autoSpaceDN w:val="0"/>
        <w:spacing w:after="0" w:line="360" w:lineRule="auto"/>
        <w:jc w:val="both"/>
        <w:rPr>
          <w:rFonts w:ascii="宋体" w:hAnsi="宋体" w:eastAsia="宋体" w:cs="黑体"/>
          <w:bCs/>
          <w:color w:val="auto"/>
        </w:rPr>
      </w:pPr>
      <w:r>
        <w:rPr>
          <w:rFonts w:hint="eastAsia" w:ascii="宋体" w:hAnsi="宋体" w:eastAsia="宋体" w:cs="黑体"/>
          <w:bCs/>
          <w:color w:val="auto"/>
          <w:sz w:val="21"/>
          <w:szCs w:val="21"/>
        </w:rPr>
        <w:t>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
          <w:color w:val="auto"/>
        </w:rPr>
      </w:pPr>
      <w:r>
        <w:rPr>
          <w:rFonts w:hint="eastAsia" w:ascii="Times New Roman" w:hAnsi="宋体" w:eastAsia="宋体" w:cs="宋体"/>
          <w:snapToGrid w:val="0"/>
          <w:color w:val="auto"/>
          <w:sz w:val="21"/>
          <w:szCs w:val="21"/>
        </w:rPr>
        <w:t>采</w:t>
      </w:r>
      <w:r>
        <w:rPr>
          <w:rFonts w:hint="eastAsia" w:ascii="宋体" w:hAnsi="宋体" w:eastAsia="宋体" w:cs="宋体"/>
          <w:snapToGrid w:val="0"/>
          <w:color w:val="auto"/>
          <w:sz w:val="21"/>
          <w:szCs w:val="21"/>
        </w:rPr>
        <w:t>购人或采购代理机构接收以书面形式递交的质疑函，接收质疑函的联系人、联系方式和通讯地址详见</w:t>
      </w:r>
      <w:r>
        <w:rPr>
          <w:rFonts w:hint="eastAsia" w:ascii="宋体" w:hAnsi="宋体" w:eastAsia="宋体" w:cs="宋体"/>
          <w:b/>
          <w:color w:val="auto"/>
          <w:sz w:val="21"/>
          <w:szCs w:val="21"/>
        </w:rPr>
        <w:t>磋商资料表</w:t>
      </w:r>
      <w:r>
        <w:rPr>
          <w:rFonts w:hint="eastAsia" w:ascii="宋体" w:hAnsi="宋体" w:eastAsia="宋体" w:cs="宋体"/>
          <w:snapToGrid w:val="0"/>
          <w:color w:val="auto"/>
          <w:sz w:val="21"/>
          <w:szCs w:val="21"/>
        </w:rPr>
        <w:t>2.3</w:t>
      </w:r>
      <w:r>
        <w:rPr>
          <w:rFonts w:hint="eastAsia" w:ascii="宋体" w:hAnsi="宋体" w:eastAsia="宋体" w:cs="宋体"/>
          <w:color w:val="auto"/>
          <w:sz w:val="21"/>
          <w:szCs w:val="21"/>
        </w:rPr>
        <w:t>。</w:t>
      </w:r>
    </w:p>
    <w:p>
      <w:pPr>
        <w:widowControl w:val="0"/>
        <w:numPr>
          <w:ilvl w:val="1"/>
          <w:numId w:val="60"/>
        </w:numPr>
        <w:autoSpaceDE w:val="0"/>
        <w:autoSpaceDN w:val="0"/>
        <w:spacing w:after="0" w:line="360" w:lineRule="auto"/>
        <w:jc w:val="both"/>
        <w:rPr>
          <w:rFonts w:ascii="宋体" w:hAnsi="宋体" w:eastAsia="宋体" w:cs="黑体"/>
          <w:b/>
          <w:color w:val="auto"/>
        </w:rPr>
      </w:pPr>
      <w:r>
        <w:rPr>
          <w:rFonts w:hint="eastAsia" w:ascii="宋体" w:hAnsi="宋体" w:eastAsia="宋体" w:cs="宋体"/>
          <w:b/>
          <w:color w:val="auto"/>
          <w:sz w:val="21"/>
          <w:szCs w:val="21"/>
        </w:rPr>
        <w:t>投诉</w:t>
      </w:r>
    </w:p>
    <w:p>
      <w:pPr>
        <w:widowControl w:val="0"/>
        <w:numPr>
          <w:ilvl w:val="2"/>
          <w:numId w:val="60"/>
        </w:numPr>
        <w:tabs>
          <w:tab w:val="left" w:pos="709"/>
          <w:tab w:val="clear" w:pos="720"/>
        </w:tabs>
        <w:autoSpaceDE w:val="0"/>
        <w:autoSpaceDN w:val="0"/>
        <w:spacing w:after="0" w:line="360" w:lineRule="auto"/>
        <w:jc w:val="both"/>
        <w:rPr>
          <w:rFonts w:ascii="宋体" w:hAnsi="宋体" w:eastAsia="宋体" w:cs="黑体"/>
          <w:b/>
          <w:color w:val="auto"/>
        </w:rPr>
      </w:pPr>
      <w:r>
        <w:rPr>
          <w:rFonts w:hint="eastAsia" w:ascii="宋体" w:hAnsi="宋体" w:eastAsia="宋体" w:cs="宋体"/>
          <w:color w:val="auto"/>
          <w:sz w:val="21"/>
          <w:szCs w:val="21"/>
        </w:rPr>
        <w:t>质疑供应商对采购人或者采购代理机构的质疑答复不满意，或采购人</w:t>
      </w:r>
      <w:r>
        <w:rPr>
          <w:rFonts w:hint="eastAsia" w:ascii="宋体" w:hAnsi="宋体" w:eastAsia="宋体" w:cs="宋体"/>
          <w:color w:val="auto"/>
          <w:sz w:val="21"/>
          <w:szCs w:val="21"/>
          <w:lang w:eastAsia="zh-TW"/>
        </w:rPr>
        <w:t>或者采购代理机构</w:t>
      </w:r>
      <w:r>
        <w:rPr>
          <w:rFonts w:hint="eastAsia" w:ascii="宋体" w:hAnsi="宋体" w:eastAsia="宋体" w:cs="宋体"/>
          <w:color w:val="auto"/>
          <w:sz w:val="21"/>
          <w:szCs w:val="21"/>
        </w:rPr>
        <w:t>未在规定期限内作出答复的，可以在答复期满后十五个工作日内向同级监管部门提出投诉。</w:t>
      </w:r>
    </w:p>
    <w:p>
      <w:pPr>
        <w:widowControl w:val="0"/>
        <w:autoSpaceDE w:val="0"/>
        <w:autoSpaceDN w:val="0"/>
        <w:spacing w:after="0" w:line="360" w:lineRule="auto"/>
        <w:jc w:val="center"/>
        <w:outlineLvl w:val="1"/>
        <w:rPr>
          <w:rFonts w:ascii="宋体" w:hAnsi="宋体" w:eastAsia="宋体" w:cs="宋体"/>
          <w:b/>
          <w:color w:val="auto"/>
          <w:sz w:val="28"/>
          <w:szCs w:val="28"/>
        </w:rPr>
      </w:pPr>
      <w:r>
        <w:rPr>
          <w:rFonts w:hint="eastAsia" w:ascii="宋体" w:hAnsi="宋体" w:eastAsia="宋体" w:cs="宋体"/>
          <w:b/>
          <w:color w:val="auto"/>
          <w:sz w:val="28"/>
          <w:szCs w:val="28"/>
        </w:rPr>
        <w:t>八</w:t>
      </w:r>
      <w:r>
        <w:rPr>
          <w:rFonts w:hint="eastAsia" w:ascii="宋体" w:hAnsi="宋体" w:eastAsia="宋体" w:cs="宋体"/>
          <w:b/>
          <w:color w:val="auto"/>
          <w:sz w:val="28"/>
          <w:szCs w:val="28"/>
          <w:lang w:eastAsia="zh-TW"/>
        </w:rPr>
        <w:t>、合同</w:t>
      </w:r>
      <w:bookmarkEnd w:id="255"/>
      <w:bookmarkEnd w:id="256"/>
      <w:bookmarkEnd w:id="257"/>
      <w:bookmarkEnd w:id="258"/>
      <w:r>
        <w:rPr>
          <w:rFonts w:hint="eastAsia" w:ascii="宋体" w:hAnsi="宋体" w:eastAsia="宋体" w:cs="宋体"/>
          <w:b/>
          <w:color w:val="auto"/>
          <w:sz w:val="28"/>
          <w:szCs w:val="28"/>
        </w:rPr>
        <w:t>的订立及履行</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59" w:name="_Toc416770243"/>
      <w:bookmarkStart w:id="260" w:name="_Toc410736167"/>
      <w:bookmarkStart w:id="261" w:name="_Toc416771353"/>
      <w:bookmarkStart w:id="262" w:name="_Toc410738967"/>
      <w:r>
        <w:rPr>
          <w:rFonts w:hint="eastAsia" w:ascii="宋体" w:hAnsi="宋体" w:eastAsia="宋体" w:cs="宋体"/>
          <w:b/>
          <w:color w:val="auto"/>
          <w:sz w:val="21"/>
          <w:szCs w:val="21"/>
        </w:rPr>
        <w:t>合同的订立</w:t>
      </w:r>
      <w:bookmarkEnd w:id="259"/>
      <w:bookmarkEnd w:id="260"/>
      <w:bookmarkEnd w:id="261"/>
      <w:bookmarkEnd w:id="262"/>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rPr>
      </w:pPr>
      <w:r>
        <w:rPr>
          <w:rFonts w:hint="eastAsia" w:ascii="宋体" w:hAnsi="宋体" w:eastAsia="宋体" w:cs="宋体"/>
          <w:color w:val="auto"/>
          <w:sz w:val="21"/>
          <w:szCs w:val="21"/>
        </w:rPr>
        <w:t>除非</w:t>
      </w:r>
      <w:r>
        <w:rPr>
          <w:rFonts w:hint="eastAsia" w:ascii="宋体" w:hAnsi="宋体" w:eastAsia="宋体" w:cs="宋体"/>
          <w:b/>
          <w:color w:val="auto"/>
          <w:sz w:val="21"/>
          <w:szCs w:val="21"/>
        </w:rPr>
        <w:t>磋商资料表</w:t>
      </w:r>
      <w:r>
        <w:rPr>
          <w:rFonts w:hint="eastAsia" w:ascii="宋体" w:hAnsi="宋体" w:eastAsia="宋体" w:cs="宋体"/>
          <w:color w:val="auto"/>
          <w:sz w:val="21"/>
          <w:szCs w:val="21"/>
        </w:rPr>
        <w:t xml:space="preserve">另有规定， </w:t>
      </w:r>
      <w:r>
        <w:rPr>
          <w:rFonts w:hint="eastAsia" w:ascii="宋体" w:hAnsi="宋体" w:eastAsia="宋体" w:cs="宋体"/>
          <w:color w:val="auto"/>
          <w:sz w:val="21"/>
          <w:szCs w:val="21"/>
          <w:lang w:eastAsia="zh-TW"/>
        </w:rPr>
        <w:t>采购人</w:t>
      </w:r>
      <w:r>
        <w:rPr>
          <w:rFonts w:hint="eastAsia" w:ascii="宋体" w:hAnsi="宋体" w:eastAsia="宋体" w:cs="宋体"/>
          <w:color w:val="auto"/>
          <w:sz w:val="21"/>
          <w:szCs w:val="21"/>
        </w:rPr>
        <w:t>应当</w:t>
      </w:r>
      <w:r>
        <w:rPr>
          <w:rFonts w:hint="eastAsia" w:ascii="宋体" w:hAnsi="宋体" w:eastAsia="宋体" w:cs="宋体"/>
          <w:color w:val="auto"/>
          <w:sz w:val="21"/>
          <w:szCs w:val="21"/>
          <w:lang w:eastAsia="zh-TW"/>
        </w:rPr>
        <w:t>自成交通知书发出之日起三十日内，按</w:t>
      </w:r>
      <w:r>
        <w:rPr>
          <w:rFonts w:hint="eastAsia" w:ascii="宋体" w:hAnsi="宋体" w:eastAsia="宋体" w:cs="宋体"/>
          <w:color w:val="auto"/>
          <w:sz w:val="21"/>
          <w:szCs w:val="21"/>
        </w:rPr>
        <w:t>照</w:t>
      </w:r>
      <w:r>
        <w:rPr>
          <w:rFonts w:hint="eastAsia" w:ascii="宋体" w:hAnsi="宋体" w:eastAsia="宋体" w:cs="宋体"/>
          <w:color w:val="auto"/>
          <w:sz w:val="21"/>
          <w:szCs w:val="21"/>
          <w:lang w:eastAsia="zh-TW"/>
        </w:rPr>
        <w:t>竞争性磋商文件要求和成交供应商响应文件承诺签订政府采购合同</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lang w:eastAsia="zh-TW"/>
        </w:rPr>
      </w:pPr>
      <w:r>
        <w:rPr>
          <w:rFonts w:hint="eastAsia" w:ascii="宋体" w:hAnsi="宋体" w:eastAsia="宋体" w:cs="宋体"/>
          <w:color w:val="auto"/>
          <w:sz w:val="21"/>
          <w:szCs w:val="21"/>
          <w:lang w:eastAsia="zh-TW"/>
        </w:rPr>
        <w:t>成交供应商拒绝签订政府采购合同的，采购人可以按照按照评标报告推荐的</w:t>
      </w:r>
      <w:r>
        <w:rPr>
          <w:rFonts w:hint="eastAsia" w:ascii="宋体" w:hAnsi="宋体" w:eastAsia="宋体" w:cs="宋体"/>
          <w:color w:val="auto"/>
          <w:sz w:val="21"/>
          <w:szCs w:val="21"/>
        </w:rPr>
        <w:t>成交</w:t>
      </w:r>
      <w:r>
        <w:rPr>
          <w:rFonts w:hint="eastAsia" w:ascii="宋体" w:hAnsi="宋体" w:eastAsia="宋体" w:cs="宋体"/>
          <w:color w:val="auto"/>
          <w:sz w:val="21"/>
          <w:szCs w:val="21"/>
          <w:lang w:eastAsia="zh-TW"/>
        </w:rPr>
        <w:t>候选人名单排序</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TW"/>
        </w:rPr>
        <w:t>确定</w:t>
      </w:r>
      <w:r>
        <w:rPr>
          <w:rFonts w:hint="eastAsia" w:ascii="宋体" w:hAnsi="宋体" w:eastAsia="宋体" w:cs="宋体"/>
          <w:color w:val="auto"/>
          <w:sz w:val="21"/>
          <w:szCs w:val="21"/>
        </w:rPr>
        <w:t>下一候选人</w:t>
      </w:r>
      <w:r>
        <w:rPr>
          <w:rFonts w:hint="eastAsia" w:ascii="宋体" w:hAnsi="宋体" w:eastAsia="宋体" w:cs="宋体"/>
          <w:color w:val="auto"/>
          <w:sz w:val="21"/>
          <w:szCs w:val="21"/>
          <w:lang w:eastAsia="zh-TW"/>
        </w:rPr>
        <w:t>作为成交供应商并签订政府采购合同，也可以重新开展采购活动。拒绝签订政府采购合同的成交供应商不得参加对该项目重新开展的采购活动</w:t>
      </w:r>
      <w:r>
        <w:rPr>
          <w:rFonts w:hint="eastAsia" w:ascii="宋体" w:hAnsi="宋体" w:eastAsia="宋体" w:cs="宋体"/>
          <w:color w:val="auto"/>
          <w:sz w:val="21"/>
          <w:szCs w:val="21"/>
        </w:rPr>
        <w:t>。</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strike/>
          <w:color w:val="auto"/>
          <w:lang w:eastAsia="zh-TW"/>
        </w:rPr>
      </w:pPr>
      <w:r>
        <w:rPr>
          <w:rFonts w:hint="eastAsia" w:ascii="宋体" w:hAnsi="宋体" w:eastAsia="宋体" w:cs="宋体"/>
          <w:color w:val="auto"/>
          <w:sz w:val="21"/>
          <w:szCs w:val="21"/>
        </w:rPr>
        <w:t>成交供应商被依法认定成交无效的，合格供应商符合法定数量时，采购人依法从合格的成交候选人中另行确定成交供应商，否则重新组织采购活动</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rPr>
      </w:pPr>
      <w:bookmarkStart w:id="263" w:name="_Toc410738968"/>
      <w:bookmarkStart w:id="264" w:name="_Toc410736168"/>
      <w:bookmarkStart w:id="265" w:name="_Toc416770244"/>
      <w:bookmarkStart w:id="266" w:name="_Toc416771354"/>
      <w:r>
        <w:rPr>
          <w:rFonts w:hint="eastAsia" w:ascii="宋体" w:hAnsi="宋体" w:eastAsia="宋体" w:cs="宋体"/>
          <w:color w:val="auto"/>
          <w:sz w:val="21"/>
          <w:szCs w:val="21"/>
        </w:rPr>
        <w:t>自</w:t>
      </w:r>
      <w:r>
        <w:rPr>
          <w:rFonts w:hint="eastAsia" w:ascii="宋体" w:hAnsi="宋体" w:eastAsia="宋体" w:cs="宋体"/>
          <w:color w:val="auto"/>
          <w:sz w:val="21"/>
          <w:szCs w:val="21"/>
          <w:lang w:eastAsia="zh-TW"/>
        </w:rPr>
        <w:t>政府采购</w:t>
      </w:r>
      <w:r>
        <w:rPr>
          <w:rFonts w:hint="eastAsia" w:ascii="宋体" w:hAnsi="宋体" w:eastAsia="宋体" w:cs="宋体"/>
          <w:color w:val="auto"/>
          <w:sz w:val="21"/>
          <w:szCs w:val="21"/>
        </w:rPr>
        <w:t>合同签订之日起2</w:t>
      </w:r>
      <w:r>
        <w:rPr>
          <w:rFonts w:hint="eastAsia" w:ascii="宋体" w:hAnsi="宋体" w:eastAsia="宋体" w:cs="宋体"/>
          <w:color w:val="auto"/>
          <w:sz w:val="21"/>
          <w:szCs w:val="21"/>
          <w:lang w:eastAsia="zh-TW"/>
        </w:rPr>
        <w:t>个工作日内，采购人应将政府采购合同</w:t>
      </w:r>
      <w:r>
        <w:rPr>
          <w:rFonts w:hint="eastAsia" w:ascii="宋体" w:hAnsi="宋体" w:eastAsia="宋体" w:cs="宋体"/>
          <w:color w:val="auto"/>
          <w:sz w:val="21"/>
          <w:szCs w:val="21"/>
        </w:rPr>
        <w:t>在省级以上人民政府财政部门指定的媒体上公告，但政府采购合同中涉及国家秘密、商业秘密的内容除外</w:t>
      </w:r>
      <w:r>
        <w:rPr>
          <w:rFonts w:hint="eastAsia" w:ascii="宋体" w:hAnsi="宋体" w:eastAsia="宋体" w:cs="宋体"/>
          <w:color w:val="auto"/>
          <w:sz w:val="21"/>
          <w:szCs w:val="21"/>
          <w:lang w:eastAsia="zh-TW"/>
        </w:rPr>
        <w:t>。</w:t>
      </w:r>
    </w:p>
    <w:p>
      <w:pPr>
        <w:widowControl w:val="0"/>
        <w:numPr>
          <w:ilvl w:val="1"/>
          <w:numId w:val="60"/>
        </w:numPr>
        <w:tabs>
          <w:tab w:val="left" w:pos="709"/>
          <w:tab w:val="clear" w:pos="360"/>
        </w:tabs>
        <w:autoSpaceDE w:val="0"/>
        <w:autoSpaceDN w:val="0"/>
        <w:spacing w:after="0" w:line="360" w:lineRule="auto"/>
        <w:ind w:left="709" w:hanging="709"/>
        <w:jc w:val="both"/>
        <w:rPr>
          <w:rFonts w:ascii="宋体" w:hAnsi="宋体" w:eastAsia="宋体" w:cs="宋体"/>
          <w:color w:val="auto"/>
        </w:rPr>
      </w:pPr>
      <w:r>
        <w:rPr>
          <w:rFonts w:hint="eastAsia" w:ascii="宋体" w:hAnsi="宋体" w:eastAsia="宋体" w:cs="宋体"/>
          <w:color w:val="auto"/>
          <w:sz w:val="21"/>
          <w:szCs w:val="21"/>
          <w:lang w:eastAsia="zh-TW"/>
        </w:rPr>
        <w:t>政府采购</w:t>
      </w:r>
      <w:r>
        <w:rPr>
          <w:rFonts w:hint="eastAsia" w:ascii="宋体" w:hAnsi="宋体" w:eastAsia="宋体" w:cs="宋体"/>
          <w:color w:val="auto"/>
          <w:sz w:val="21"/>
          <w:szCs w:val="21"/>
        </w:rPr>
        <w:t>合同签订之日起七</w:t>
      </w:r>
      <w:r>
        <w:rPr>
          <w:rFonts w:hint="eastAsia" w:ascii="宋体" w:hAnsi="宋体" w:eastAsia="宋体" w:cs="宋体"/>
          <w:color w:val="auto"/>
          <w:sz w:val="21"/>
          <w:szCs w:val="21"/>
          <w:lang w:eastAsia="zh-TW"/>
        </w:rPr>
        <w:t>个工作日内，采购人应将政府采购合同副本报同级监管部门备案</w:t>
      </w:r>
      <w:r>
        <w:rPr>
          <w:rFonts w:hint="eastAsia" w:ascii="宋体" w:hAnsi="宋体" w:eastAsia="宋体" w:cs="宋体"/>
          <w:color w:val="auto"/>
          <w:sz w:val="21"/>
          <w:szCs w:val="21"/>
        </w:rPr>
        <w:t>和有关部门备案</w:t>
      </w:r>
      <w:r>
        <w:rPr>
          <w:rFonts w:hint="eastAsia" w:ascii="宋体" w:hAnsi="宋体" w:eastAsia="宋体" w:cs="宋体"/>
          <w:color w:val="auto"/>
          <w:sz w:val="21"/>
          <w:szCs w:val="21"/>
          <w:lang w:eastAsia="zh-TW"/>
        </w:rPr>
        <w:t>。</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r>
        <w:rPr>
          <w:rFonts w:hint="eastAsia" w:ascii="宋体" w:hAnsi="宋体" w:eastAsia="宋体" w:cs="宋体"/>
          <w:b/>
          <w:color w:val="auto"/>
          <w:sz w:val="21"/>
          <w:szCs w:val="21"/>
        </w:rPr>
        <w:t>合同的履行</w:t>
      </w:r>
      <w:bookmarkEnd w:id="263"/>
      <w:bookmarkEnd w:id="264"/>
      <w:bookmarkEnd w:id="265"/>
      <w:bookmarkEnd w:id="266"/>
    </w:p>
    <w:p>
      <w:pPr>
        <w:widowControl w:val="0"/>
        <w:numPr>
          <w:ilvl w:val="1"/>
          <w:numId w:val="60"/>
        </w:numPr>
        <w:tabs>
          <w:tab w:val="left" w:pos="709"/>
          <w:tab w:val="clear" w:pos="360"/>
        </w:tabs>
        <w:autoSpaceDE w:val="0"/>
        <w:autoSpaceDN w:val="0"/>
        <w:spacing w:after="0" w:line="360" w:lineRule="auto"/>
        <w:ind w:left="709" w:hanging="709"/>
        <w:rPr>
          <w:rFonts w:ascii="宋体" w:hAnsi="宋体" w:eastAsia="宋体" w:cs="宋体"/>
          <w:color w:val="auto"/>
          <w:lang w:eastAsia="zh-TW"/>
        </w:rPr>
      </w:pPr>
      <w:r>
        <w:rPr>
          <w:rFonts w:hint="eastAsia" w:ascii="宋体" w:hAnsi="宋体" w:eastAsia="宋体" w:cs="宋体"/>
          <w:color w:val="auto"/>
          <w:sz w:val="21"/>
          <w:szCs w:val="21"/>
          <w:lang w:eastAsia="zh-TW"/>
        </w:rPr>
        <w:t>政府采购合同履行中，采购人需追加与合同标的相同的货物、工程或者服务的，在不改变合同其他条款的前提下，可以与响应供应商签订补充合同，但所补充合同的采购金额不得超过原</w:t>
      </w:r>
      <w:r>
        <w:rPr>
          <w:rFonts w:hint="eastAsia" w:ascii="宋体" w:hAnsi="宋体" w:eastAsia="宋体" w:cs="宋体"/>
          <w:color w:val="auto"/>
          <w:sz w:val="21"/>
          <w:szCs w:val="21"/>
        </w:rPr>
        <w:t>合同</w:t>
      </w:r>
      <w:r>
        <w:rPr>
          <w:rFonts w:hint="eastAsia" w:ascii="宋体" w:hAnsi="宋体" w:eastAsia="宋体" w:cs="宋体"/>
          <w:color w:val="auto"/>
          <w:sz w:val="21"/>
          <w:szCs w:val="21"/>
          <w:lang w:eastAsia="zh-TW"/>
        </w:rPr>
        <w:t>采购金额的百分之十。</w:t>
      </w:r>
    </w:p>
    <w:p>
      <w:pPr>
        <w:widowControl w:val="0"/>
        <w:numPr>
          <w:ilvl w:val="0"/>
          <w:numId w:val="60"/>
        </w:numPr>
        <w:autoSpaceDE w:val="0"/>
        <w:autoSpaceDN w:val="0"/>
        <w:spacing w:after="0" w:line="360" w:lineRule="auto"/>
        <w:ind w:left="357" w:hanging="357"/>
        <w:jc w:val="both"/>
        <w:outlineLvl w:val="2"/>
        <w:rPr>
          <w:rFonts w:ascii="宋体" w:hAnsi="宋体" w:eastAsia="宋体" w:cs="宋体"/>
          <w:b/>
          <w:color w:val="auto"/>
        </w:rPr>
      </w:pPr>
      <w:bookmarkStart w:id="267" w:name="_Toc410736169"/>
      <w:bookmarkStart w:id="268" w:name="_Toc410738969"/>
      <w:bookmarkStart w:id="269" w:name="_Toc416770245"/>
      <w:bookmarkStart w:id="270" w:name="_Toc416771355"/>
      <w:r>
        <w:rPr>
          <w:rFonts w:hint="eastAsia" w:ascii="宋体" w:hAnsi="宋体" w:eastAsia="宋体" w:cs="宋体"/>
          <w:b/>
          <w:color w:val="auto"/>
          <w:sz w:val="21"/>
          <w:szCs w:val="21"/>
        </w:rPr>
        <w:t>履约保证金</w:t>
      </w:r>
      <w:bookmarkEnd w:id="267"/>
      <w:bookmarkEnd w:id="268"/>
      <w:bookmarkEnd w:id="269"/>
      <w:bookmarkEnd w:id="270"/>
    </w:p>
    <w:p>
      <w:pPr>
        <w:widowControl w:val="0"/>
        <w:numPr>
          <w:ilvl w:val="1"/>
          <w:numId w:val="60"/>
        </w:numPr>
        <w:tabs>
          <w:tab w:val="left" w:pos="709"/>
          <w:tab w:val="clear" w:pos="360"/>
        </w:tabs>
        <w:autoSpaceDE w:val="0"/>
        <w:autoSpaceDN w:val="0"/>
        <w:spacing w:after="0" w:line="360" w:lineRule="auto"/>
        <w:ind w:left="709" w:hanging="709"/>
        <w:jc w:val="both"/>
        <w:outlineLvl w:val="2"/>
        <w:rPr>
          <w:color w:val="auto"/>
        </w:rPr>
      </w:pPr>
      <w:r>
        <w:rPr>
          <w:rFonts w:hint="eastAsia" w:ascii="宋体" w:hAnsi="宋体" w:eastAsia="宋体" w:cs="宋体"/>
          <w:color w:val="auto"/>
          <w:sz w:val="21"/>
          <w:szCs w:val="21"/>
          <w:lang w:eastAsia="zh-TW"/>
        </w:rPr>
        <w:t>成交供应商应按照竞争性磋商文件中</w:t>
      </w:r>
      <w:r>
        <w:rPr>
          <w:rFonts w:hint="eastAsia" w:ascii="宋体" w:hAnsi="宋体" w:eastAsia="宋体" w:cs="宋体"/>
          <w:color w:val="auto"/>
          <w:sz w:val="21"/>
          <w:szCs w:val="21"/>
        </w:rPr>
        <w:t>要求的金额及提交方式</w:t>
      </w:r>
      <w:r>
        <w:rPr>
          <w:rFonts w:hint="eastAsia" w:ascii="宋体" w:hAnsi="宋体" w:eastAsia="宋体" w:cs="宋体"/>
          <w:color w:val="auto"/>
          <w:sz w:val="21"/>
          <w:szCs w:val="21"/>
          <w:lang w:eastAsia="zh-TW"/>
        </w:rPr>
        <w:t>形式向采购人提交履约保证金。</w:t>
      </w:r>
    </w:p>
    <w:p>
      <w:pPr>
        <w:widowControl w:val="0"/>
        <w:autoSpaceDE w:val="0"/>
        <w:autoSpaceDN w:val="0"/>
        <w:spacing w:after="0" w:line="360" w:lineRule="auto"/>
        <w:jc w:val="both"/>
        <w:outlineLvl w:val="2"/>
        <w:rPr>
          <w:color w:val="auto"/>
        </w:rPr>
      </w:pPr>
      <w:r>
        <w:rPr>
          <w:rFonts w:ascii="Times New Roman" w:hAnsi="Times New Roman" w:eastAsia="宋体" w:cs="Times New Roman"/>
          <w:color w:val="auto"/>
          <w:sz w:val="21"/>
          <w:szCs w:val="21"/>
        </w:rPr>
        <w:t>1</w:t>
      </w:r>
      <w:r>
        <w:rPr>
          <w:rFonts w:hint="eastAsia" w:ascii="Times New Roman" w:hAnsi="Times New Roman" w:eastAsia="宋体" w:cs="宋体"/>
          <w:color w:val="auto"/>
          <w:sz w:val="21"/>
          <w:szCs w:val="21"/>
        </w:rPr>
        <w:t>：询问函格式</w:t>
      </w:r>
    </w:p>
    <w:p>
      <w:pPr>
        <w:pStyle w:val="18"/>
        <w:spacing w:beforeAutospacing="0" w:afterAutospacing="0" w:line="360" w:lineRule="auto"/>
        <w:jc w:val="center"/>
        <w:rPr>
          <w:rFonts w:hint="default" w:cs="宋体"/>
          <w:color w:val="auto"/>
          <w:sz w:val="21"/>
          <w:szCs w:val="21"/>
        </w:rPr>
      </w:pPr>
      <w:r>
        <w:rPr>
          <w:rStyle w:val="24"/>
          <w:rFonts w:cs="宋体"/>
          <w:color w:val="auto"/>
          <w:sz w:val="21"/>
          <w:szCs w:val="21"/>
        </w:rPr>
        <w:t>询问函</w:t>
      </w:r>
    </w:p>
    <w:p>
      <w:pPr>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一、询问供应商基本信息</w:t>
      </w:r>
    </w:p>
    <w:p>
      <w:pPr>
        <w:widowControl w:val="0"/>
        <w:autoSpaceDE w:val="0"/>
        <w:autoSpaceDN w:val="0"/>
        <w:spacing w:after="0" w:line="360" w:lineRule="auto"/>
        <w:rPr>
          <w:rFonts w:ascii="宋体" w:hAnsi="宋体" w:eastAsia="宋体" w:cs="宋体"/>
          <w:color w:val="auto"/>
          <w:u w:val="dotted"/>
        </w:rPr>
      </w:pPr>
      <w:r>
        <w:rPr>
          <w:rFonts w:hint="eastAsia" w:ascii="宋体" w:hAnsi="宋体" w:eastAsia="宋体" w:cs="宋体"/>
          <w:color w:val="auto"/>
          <w:sz w:val="21"/>
          <w:szCs w:val="21"/>
        </w:rPr>
        <w:t>询问供应商：</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地址：</w:t>
      </w:r>
      <w:r>
        <w:rPr>
          <w:rFonts w:hint="eastAsia" w:ascii="宋体" w:hAnsi="宋体" w:eastAsia="宋体" w:cs="宋体"/>
          <w:color w:val="auto"/>
          <w:sz w:val="21"/>
          <w:szCs w:val="21"/>
          <w:u w:val="dotted"/>
        </w:rPr>
        <w:t xml:space="preserve">                          </w:t>
      </w:r>
      <w:r>
        <w:rPr>
          <w:rFonts w:hint="eastAsia" w:ascii="宋体" w:hAnsi="宋体" w:eastAsia="宋体" w:cs="宋体"/>
          <w:color w:val="auto"/>
          <w:sz w:val="21"/>
          <w:szCs w:val="21"/>
        </w:rPr>
        <w:t>邮编：</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联系人：</w:t>
      </w:r>
      <w:r>
        <w:rPr>
          <w:rFonts w:hint="eastAsia" w:ascii="宋体" w:hAnsi="宋体" w:eastAsia="宋体" w:cs="宋体"/>
          <w:color w:val="auto"/>
          <w:sz w:val="21"/>
          <w:szCs w:val="21"/>
          <w:u w:val="dotted"/>
        </w:rPr>
        <w:t xml:space="preserve">                      </w:t>
      </w:r>
      <w:r>
        <w:rPr>
          <w:rFonts w:hint="eastAsia" w:ascii="宋体" w:hAnsi="宋体" w:eastAsia="宋体" w:cs="宋体"/>
          <w:color w:val="auto"/>
          <w:sz w:val="21"/>
          <w:szCs w:val="21"/>
        </w:rPr>
        <w:t>联系电话：</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u w:val="dotted"/>
        </w:rPr>
      </w:pPr>
      <w:r>
        <w:rPr>
          <w:rFonts w:hint="eastAsia" w:ascii="宋体" w:hAnsi="宋体" w:eastAsia="宋体" w:cs="宋体"/>
          <w:color w:val="auto"/>
          <w:sz w:val="21"/>
          <w:szCs w:val="21"/>
        </w:rPr>
        <w:t>授权代表：</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u w:val="dotted"/>
        </w:rPr>
      </w:pPr>
      <w:r>
        <w:rPr>
          <w:rFonts w:hint="eastAsia" w:ascii="宋体" w:hAnsi="宋体" w:eastAsia="宋体" w:cs="宋体"/>
          <w:color w:val="auto"/>
          <w:sz w:val="21"/>
          <w:szCs w:val="21"/>
        </w:rPr>
        <w:t xml:space="preserve">地址： </w:t>
      </w:r>
      <w:r>
        <w:rPr>
          <w:rFonts w:hint="eastAsia" w:ascii="宋体" w:hAnsi="宋体" w:eastAsia="宋体" w:cs="宋体"/>
          <w:color w:val="auto"/>
          <w:sz w:val="21"/>
          <w:szCs w:val="21"/>
          <w:u w:val="dotted"/>
        </w:rPr>
        <w:t xml:space="preserve">                        </w:t>
      </w:r>
      <w:r>
        <w:rPr>
          <w:rFonts w:hint="eastAsia" w:ascii="宋体" w:hAnsi="宋体" w:eastAsia="宋体" w:cs="宋体"/>
          <w:color w:val="auto"/>
          <w:sz w:val="21"/>
          <w:szCs w:val="21"/>
        </w:rPr>
        <w:t>邮编：</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二、询问项目基本情况</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询问项目的名称：</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询问项目的编号：</w:t>
      </w:r>
      <w:r>
        <w:rPr>
          <w:rFonts w:hint="eastAsia" w:ascii="宋体" w:hAnsi="宋体" w:eastAsia="宋体" w:cs="宋体"/>
          <w:color w:val="auto"/>
          <w:sz w:val="21"/>
          <w:szCs w:val="21"/>
          <w:u w:val="dotted"/>
        </w:rPr>
        <w:t xml:space="preserve">                                </w:t>
      </w:r>
      <w:r>
        <w:rPr>
          <w:rFonts w:hint="eastAsia" w:ascii="宋体" w:hAnsi="宋体" w:eastAsia="宋体" w:cs="宋体"/>
          <w:color w:val="auto"/>
          <w:sz w:val="21"/>
          <w:szCs w:val="21"/>
        </w:rPr>
        <w:t>包号：</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u w:val="dotted"/>
        </w:rPr>
      </w:pPr>
      <w:r>
        <w:rPr>
          <w:rFonts w:hint="eastAsia" w:ascii="宋体" w:hAnsi="宋体" w:eastAsia="宋体" w:cs="宋体"/>
          <w:color w:val="auto"/>
          <w:sz w:val="21"/>
          <w:szCs w:val="21"/>
        </w:rPr>
        <w:t>采购人名称：</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采购文件获取日期：</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color w:val="auto"/>
          <w:sz w:val="21"/>
          <w:szCs w:val="21"/>
        </w:rPr>
        <w:t>三、</w:t>
      </w:r>
      <w:r>
        <w:rPr>
          <w:rFonts w:hint="eastAsia" w:ascii="宋体" w:hAnsi="宋体" w:eastAsia="宋体" w:cs="宋体"/>
          <w:b/>
          <w:color w:val="auto"/>
          <w:sz w:val="21"/>
          <w:szCs w:val="21"/>
        </w:rPr>
        <w:t>询问事项具体内容</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询问事项1：</w:t>
      </w:r>
      <w:r>
        <w:rPr>
          <w:rFonts w:hint="eastAsia" w:ascii="宋体" w:hAnsi="宋体" w:eastAsia="宋体" w:cs="宋体"/>
          <w:color w:val="auto"/>
          <w:sz w:val="21"/>
          <w:szCs w:val="21"/>
          <w:u w:val="dotted"/>
        </w:rPr>
        <w:t xml:space="preserve">                                                         </w:t>
      </w:r>
    </w:p>
    <w:p>
      <w:pPr>
        <w:tabs>
          <w:tab w:val="center" w:pos="5019"/>
        </w:tabs>
        <w:autoSpaceDE w:val="0"/>
        <w:autoSpaceDN w:val="0"/>
        <w:spacing w:after="0" w:line="360" w:lineRule="auto"/>
        <w:rPr>
          <w:rFonts w:ascii="宋体" w:hAnsi="宋体" w:eastAsia="宋体" w:cs="宋体"/>
          <w:color w:val="auto"/>
          <w:u w:val="dotted"/>
        </w:rPr>
      </w:pPr>
      <w:r>
        <w:rPr>
          <w:rFonts w:hint="eastAsia" w:ascii="宋体" w:hAnsi="宋体" w:eastAsia="宋体" w:cs="宋体"/>
          <w:color w:val="auto"/>
          <w:sz w:val="21"/>
          <w:szCs w:val="21"/>
        </w:rPr>
        <w:t>说明疑问或无法理解原因：</w:t>
      </w:r>
      <w:r>
        <w:rPr>
          <w:rFonts w:hint="eastAsia" w:ascii="宋体" w:hAnsi="宋体" w:eastAsia="宋体" w:cs="宋体"/>
          <w:color w:val="auto"/>
          <w:sz w:val="21"/>
          <w:szCs w:val="21"/>
          <w:u w:val="dotted"/>
        </w:rPr>
        <w:t xml:space="preserve">                                             </w:t>
      </w:r>
    </w:p>
    <w:p>
      <w:pPr>
        <w:tabs>
          <w:tab w:val="center" w:pos="5019"/>
        </w:tabs>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建议：</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询问事项2：</w:t>
      </w:r>
    </w:p>
    <w:p>
      <w:pPr>
        <w:tabs>
          <w:tab w:val="left" w:pos="6300"/>
        </w:tabs>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签字(签章)：</w:t>
      </w:r>
      <w:r>
        <w:rPr>
          <w:rFonts w:hint="eastAsia" w:ascii="宋体" w:hAnsi="宋体" w:eastAsia="宋体" w:cs="宋体"/>
          <w:color w:val="auto"/>
          <w:sz w:val="21"/>
          <w:szCs w:val="21"/>
          <w:u w:val="dotted"/>
        </w:rPr>
        <w:t xml:space="preserve">                         </w:t>
      </w:r>
      <w:r>
        <w:rPr>
          <w:rFonts w:hint="eastAsia" w:ascii="宋体" w:hAnsi="宋体" w:eastAsia="宋体" w:cs="宋体"/>
          <w:color w:val="auto"/>
          <w:sz w:val="21"/>
          <w:szCs w:val="21"/>
        </w:rPr>
        <w:t xml:space="preserve">    公章：</w:t>
      </w:r>
      <w:r>
        <w:rPr>
          <w:rFonts w:hint="eastAsia" w:ascii="宋体" w:hAnsi="宋体" w:eastAsia="宋体" w:cs="宋体"/>
          <w:color w:val="auto"/>
          <w:sz w:val="21"/>
          <w:szCs w:val="21"/>
          <w:u w:val="dotted"/>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日期：</w:t>
      </w:r>
      <w:r>
        <w:rPr>
          <w:rFonts w:hint="eastAsia" w:ascii="宋体" w:hAnsi="宋体" w:eastAsia="宋体" w:cs="宋体"/>
          <w:color w:val="auto"/>
          <w:sz w:val="21"/>
          <w:szCs w:val="21"/>
          <w:u w:val="dotted"/>
        </w:rPr>
        <w:t xml:space="preserve">                      </w:t>
      </w:r>
    </w:p>
    <w:p>
      <w:pPr>
        <w:pStyle w:val="18"/>
        <w:spacing w:beforeAutospacing="0" w:afterAutospacing="0" w:line="360" w:lineRule="auto"/>
        <w:jc w:val="both"/>
        <w:outlineLvl w:val="2"/>
        <w:rPr>
          <w:rFonts w:hint="default"/>
          <w:color w:val="auto"/>
          <w:sz w:val="21"/>
          <w:szCs w:val="21"/>
        </w:rPr>
      </w:pPr>
      <w:r>
        <w:rPr>
          <w:color w:val="auto"/>
          <w:sz w:val="21"/>
          <w:szCs w:val="21"/>
        </w:rPr>
        <w:br w:type="page"/>
      </w:r>
      <w:r>
        <w:rPr>
          <w:color w:val="auto"/>
          <w:sz w:val="21"/>
          <w:szCs w:val="21"/>
        </w:rPr>
        <w:t>2：质疑函格式</w:t>
      </w:r>
    </w:p>
    <w:p>
      <w:pPr>
        <w:widowControl w:val="0"/>
        <w:autoSpaceDE w:val="0"/>
        <w:autoSpaceDN w:val="0"/>
        <w:spacing w:after="0"/>
        <w:jc w:val="center"/>
        <w:rPr>
          <w:rFonts w:ascii="宋体" w:hAnsi="宋体" w:eastAsia="宋体" w:cs="仿宋"/>
          <w:b/>
          <w:color w:val="auto"/>
        </w:rPr>
      </w:pPr>
      <w:r>
        <w:rPr>
          <w:rFonts w:hint="eastAsia" w:ascii="宋体" w:hAnsi="宋体" w:eastAsia="宋体" w:cs="仿宋"/>
          <w:b/>
          <w:color w:val="auto"/>
          <w:sz w:val="21"/>
          <w:szCs w:val="21"/>
        </w:rPr>
        <w:t>质疑函范本</w:t>
      </w:r>
    </w:p>
    <w:p>
      <w:pPr>
        <w:widowControl w:val="0"/>
        <w:autoSpaceDE w:val="0"/>
        <w:autoSpaceDN w:val="0"/>
        <w:spacing w:beforeLines="100" w:after="0" w:line="360" w:lineRule="auto"/>
        <w:rPr>
          <w:rFonts w:ascii="宋体" w:hAnsi="宋体" w:eastAsia="宋体" w:cs="仿宋"/>
          <w:bCs/>
          <w:color w:val="auto"/>
        </w:rPr>
      </w:pPr>
      <w:r>
        <w:rPr>
          <w:rFonts w:hint="eastAsia" w:ascii="宋体" w:hAnsi="宋体" w:eastAsia="宋体" w:cs="仿宋"/>
          <w:bCs/>
          <w:color w:val="auto"/>
          <w:sz w:val="21"/>
          <w:szCs w:val="21"/>
        </w:rPr>
        <w:t>一、质疑供应商基本信息</w:t>
      </w:r>
    </w:p>
    <w:p>
      <w:pPr>
        <w:widowControl w:val="0"/>
        <w:autoSpaceDE w:val="0"/>
        <w:autoSpaceDN w:val="0"/>
        <w:spacing w:after="0" w:line="360" w:lineRule="auto"/>
        <w:rPr>
          <w:rFonts w:ascii="宋体" w:hAnsi="宋体" w:eastAsia="宋体" w:cs="仿宋"/>
          <w:color w:val="auto"/>
          <w:u w:val="dotted"/>
        </w:rPr>
      </w:pPr>
      <w:r>
        <w:rPr>
          <w:rFonts w:hint="eastAsia" w:ascii="宋体" w:hAnsi="宋体" w:eastAsia="宋体" w:cs="仿宋"/>
          <w:color w:val="auto"/>
          <w:sz w:val="21"/>
          <w:szCs w:val="21"/>
        </w:rPr>
        <w:t>质疑供应商：</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地址：</w:t>
      </w:r>
      <w:r>
        <w:rPr>
          <w:rFonts w:hint="eastAsia" w:ascii="宋体" w:hAnsi="宋体" w:eastAsia="宋体" w:cs="仿宋"/>
          <w:color w:val="auto"/>
          <w:sz w:val="21"/>
          <w:szCs w:val="21"/>
          <w:u w:val="single"/>
        </w:rPr>
        <w:t xml:space="preserve">                          </w:t>
      </w:r>
      <w:r>
        <w:rPr>
          <w:rFonts w:hint="eastAsia" w:ascii="宋体" w:hAnsi="宋体" w:eastAsia="宋体" w:cs="仿宋"/>
          <w:color w:val="auto"/>
          <w:sz w:val="21"/>
          <w:szCs w:val="21"/>
        </w:rPr>
        <w:t>邮编：</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联系人：</w:t>
      </w:r>
      <w:r>
        <w:rPr>
          <w:rFonts w:hint="eastAsia" w:ascii="宋体" w:hAnsi="宋体" w:eastAsia="宋体" w:cs="仿宋"/>
          <w:color w:val="auto"/>
          <w:sz w:val="21"/>
          <w:szCs w:val="21"/>
          <w:u w:val="single"/>
        </w:rPr>
        <w:t xml:space="preserve">                      </w:t>
      </w:r>
      <w:r>
        <w:rPr>
          <w:rFonts w:hint="eastAsia" w:ascii="宋体" w:hAnsi="宋体" w:eastAsia="宋体" w:cs="仿宋"/>
          <w:color w:val="auto"/>
          <w:sz w:val="21"/>
          <w:szCs w:val="21"/>
        </w:rPr>
        <w:t>联系电话：</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dotted"/>
        </w:rPr>
      </w:pPr>
      <w:r>
        <w:rPr>
          <w:rFonts w:hint="eastAsia" w:ascii="宋体" w:hAnsi="宋体" w:eastAsia="宋体" w:cs="仿宋"/>
          <w:color w:val="auto"/>
          <w:sz w:val="21"/>
          <w:szCs w:val="21"/>
        </w:rPr>
        <w:t>授权代表：</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联系电话：</w:t>
      </w:r>
      <w:r>
        <w:rPr>
          <w:rFonts w:hint="eastAsia" w:ascii="宋体" w:hAnsi="宋体" w:eastAsia="宋体" w:cs="仿宋"/>
          <w:color w:val="auto"/>
          <w:sz w:val="21"/>
          <w:szCs w:val="21"/>
          <w:u w:val="single"/>
        </w:rPr>
        <w:t xml:space="preserve">                                           </w:t>
      </w:r>
      <w:r>
        <w:rPr>
          <w:rFonts w:hint="eastAsia" w:ascii="宋体" w:hAnsi="宋体" w:eastAsia="宋体" w:cs="仿宋"/>
          <w:color w:val="auto"/>
          <w:sz w:val="21"/>
          <w:szCs w:val="21"/>
        </w:rPr>
        <w:t xml:space="preserve">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地址：</w:t>
      </w:r>
      <w:r>
        <w:rPr>
          <w:rFonts w:hint="eastAsia" w:ascii="宋体" w:hAnsi="宋体" w:eastAsia="宋体" w:cs="仿宋"/>
          <w:color w:val="auto"/>
          <w:sz w:val="21"/>
          <w:szCs w:val="21"/>
          <w:u w:val="single"/>
        </w:rPr>
        <w:t xml:space="preserve">                         </w:t>
      </w:r>
      <w:r>
        <w:rPr>
          <w:rFonts w:hint="eastAsia" w:ascii="宋体" w:hAnsi="宋体" w:eastAsia="宋体" w:cs="仿宋"/>
          <w:color w:val="auto"/>
          <w:sz w:val="21"/>
          <w:szCs w:val="21"/>
        </w:rPr>
        <w:t>邮编：</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bCs/>
          <w:color w:val="auto"/>
        </w:rPr>
      </w:pPr>
      <w:r>
        <w:rPr>
          <w:rFonts w:hint="eastAsia" w:ascii="宋体" w:hAnsi="宋体" w:eastAsia="宋体" w:cs="仿宋"/>
          <w:bCs/>
          <w:color w:val="auto"/>
          <w:sz w:val="21"/>
          <w:szCs w:val="21"/>
        </w:rPr>
        <w:t>二、质疑项目基本情况</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质疑项目的名称：</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质疑项目的编号：</w:t>
      </w:r>
      <w:r>
        <w:rPr>
          <w:rFonts w:hint="eastAsia" w:ascii="宋体" w:hAnsi="宋体" w:eastAsia="宋体" w:cs="仿宋"/>
          <w:color w:val="auto"/>
          <w:sz w:val="21"/>
          <w:szCs w:val="21"/>
          <w:u w:val="single"/>
        </w:rPr>
        <w:t xml:space="preserve">               </w:t>
      </w:r>
      <w:r>
        <w:rPr>
          <w:rFonts w:hint="eastAsia" w:ascii="宋体" w:hAnsi="宋体" w:eastAsia="宋体" w:cs="仿宋"/>
          <w:color w:val="auto"/>
          <w:sz w:val="21"/>
          <w:szCs w:val="21"/>
        </w:rPr>
        <w:t>包号：</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single"/>
        </w:rPr>
      </w:pPr>
      <w:r>
        <w:rPr>
          <w:rFonts w:hint="eastAsia" w:ascii="宋体" w:hAnsi="宋体" w:eastAsia="宋体" w:cs="仿宋"/>
          <w:color w:val="auto"/>
          <w:sz w:val="21"/>
          <w:szCs w:val="21"/>
        </w:rPr>
        <w:t>采购人名称：</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single"/>
        </w:rPr>
      </w:pPr>
      <w:r>
        <w:rPr>
          <w:rFonts w:hint="eastAsia" w:ascii="宋体" w:hAnsi="宋体" w:eastAsia="宋体" w:cs="仿宋"/>
          <w:color w:val="auto"/>
          <w:sz w:val="21"/>
          <w:szCs w:val="21"/>
        </w:rPr>
        <w:t>采购文件获取日期：</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bCs/>
          <w:color w:val="auto"/>
        </w:rPr>
      </w:pPr>
      <w:r>
        <w:rPr>
          <w:rFonts w:hint="eastAsia" w:ascii="宋体" w:hAnsi="宋体" w:eastAsia="宋体" w:cs="仿宋"/>
          <w:bCs/>
          <w:color w:val="auto"/>
          <w:sz w:val="21"/>
          <w:szCs w:val="21"/>
        </w:rPr>
        <w:t>三、质疑事项具体内容</w:t>
      </w:r>
    </w:p>
    <w:p>
      <w:pPr>
        <w:widowControl w:val="0"/>
        <w:autoSpaceDE w:val="0"/>
        <w:autoSpaceDN w:val="0"/>
        <w:spacing w:after="0" w:line="360" w:lineRule="auto"/>
        <w:rPr>
          <w:rFonts w:ascii="宋体" w:hAnsi="宋体" w:eastAsia="宋体" w:cs="仿宋"/>
          <w:color w:val="auto"/>
          <w:u w:val="single"/>
        </w:rPr>
      </w:pPr>
      <w:r>
        <w:rPr>
          <w:rFonts w:hint="eastAsia" w:ascii="宋体" w:hAnsi="宋体" w:eastAsia="宋体" w:cs="仿宋"/>
          <w:color w:val="auto"/>
          <w:sz w:val="21"/>
          <w:szCs w:val="21"/>
        </w:rPr>
        <w:t>质疑事项1：</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single"/>
        </w:rPr>
      </w:pPr>
      <w:r>
        <w:rPr>
          <w:rFonts w:hint="eastAsia" w:ascii="宋体" w:hAnsi="宋体" w:eastAsia="宋体" w:cs="仿宋"/>
          <w:color w:val="auto"/>
          <w:sz w:val="21"/>
          <w:szCs w:val="21"/>
        </w:rPr>
        <w:t>事实依据：</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single"/>
        </w:rPr>
      </w:pPr>
      <w:r>
        <w:rPr>
          <w:rFonts w:hint="eastAsia" w:ascii="宋体" w:hAnsi="宋体" w:eastAsia="宋体" w:cs="仿宋"/>
          <w:color w:val="auto"/>
          <w:sz w:val="21"/>
          <w:szCs w:val="21"/>
        </w:rPr>
        <w:t>法律依据：</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仿宋"/>
          <w:color w:val="auto"/>
          <w:u w:val="dotted"/>
        </w:rPr>
      </w:pPr>
      <w:r>
        <w:rPr>
          <w:rFonts w:hint="eastAsia" w:ascii="宋体" w:hAnsi="宋体" w:eastAsia="宋体" w:cs="仿宋"/>
          <w:color w:val="auto"/>
          <w:sz w:val="21"/>
          <w:szCs w:val="21"/>
        </w:rPr>
        <w:t>质疑事项2</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w:t>
      </w:r>
    </w:p>
    <w:p>
      <w:pPr>
        <w:widowControl w:val="0"/>
        <w:autoSpaceDE w:val="0"/>
        <w:autoSpaceDN w:val="0"/>
        <w:spacing w:after="0" w:line="360" w:lineRule="auto"/>
        <w:rPr>
          <w:rFonts w:ascii="宋体" w:hAnsi="宋体" w:eastAsia="宋体" w:cs="仿宋"/>
          <w:bCs/>
          <w:color w:val="auto"/>
        </w:rPr>
      </w:pPr>
      <w:r>
        <w:rPr>
          <w:rFonts w:hint="eastAsia" w:ascii="宋体" w:hAnsi="宋体" w:eastAsia="宋体" w:cs="仿宋"/>
          <w:bCs/>
          <w:color w:val="auto"/>
          <w:sz w:val="21"/>
          <w:szCs w:val="21"/>
        </w:rPr>
        <w:t>四、与质疑事项相关的质疑请求</w:t>
      </w:r>
    </w:p>
    <w:p>
      <w:pPr>
        <w:widowControl w:val="0"/>
        <w:autoSpaceDE w:val="0"/>
        <w:autoSpaceDN w:val="0"/>
        <w:spacing w:after="0" w:line="360" w:lineRule="auto"/>
        <w:rPr>
          <w:rFonts w:ascii="宋体" w:hAnsi="宋体" w:eastAsia="宋体" w:cs="仿宋"/>
          <w:color w:val="auto"/>
          <w:u w:val="dotted"/>
        </w:rPr>
      </w:pPr>
      <w:r>
        <w:rPr>
          <w:rFonts w:hint="eastAsia" w:ascii="宋体" w:hAnsi="宋体" w:eastAsia="宋体" w:cs="仿宋"/>
          <w:color w:val="auto"/>
          <w:sz w:val="21"/>
          <w:szCs w:val="21"/>
        </w:rPr>
        <w:t>请求：</w:t>
      </w:r>
      <w:r>
        <w:rPr>
          <w:rFonts w:hint="eastAsia" w:ascii="宋体" w:hAnsi="宋体" w:eastAsia="宋体" w:cs="仿宋"/>
          <w:color w:val="auto"/>
          <w:sz w:val="21"/>
          <w:szCs w:val="21"/>
          <w:u w:val="single"/>
        </w:rPr>
        <w:t xml:space="preserve">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 xml:space="preserve">签字(签章)：                   公章：                      </w:t>
      </w:r>
    </w:p>
    <w:p>
      <w:pPr>
        <w:widowControl w:val="0"/>
        <w:autoSpaceDE w:val="0"/>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 xml:space="preserve">日期：    </w:t>
      </w:r>
    </w:p>
    <w:p>
      <w:pPr>
        <w:widowControl w:val="0"/>
        <w:autoSpaceDE w:val="0"/>
        <w:autoSpaceDN w:val="0"/>
        <w:spacing w:after="0" w:line="360" w:lineRule="auto"/>
        <w:rPr>
          <w:rFonts w:ascii="宋体" w:hAnsi="宋体" w:eastAsia="宋体" w:cs="仿宋"/>
          <w:color w:val="auto"/>
        </w:rPr>
      </w:pPr>
      <w:r>
        <w:rPr>
          <w:rFonts w:hint="eastAsia" w:ascii="宋体" w:hAnsi="宋体" w:eastAsia="宋体" w:cs="仿宋"/>
          <w:color w:val="auto"/>
          <w:sz w:val="21"/>
          <w:szCs w:val="21"/>
        </w:rPr>
        <w:t>附件：</w:t>
      </w:r>
    </w:p>
    <w:tbl>
      <w:tblPr>
        <w:tblStyle w:val="21"/>
        <w:tblW w:w="88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12"/>
        <w:gridCol w:w="2707"/>
        <w:gridCol w:w="2203"/>
        <w:gridCol w:w="2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2" w:hRule="atLeast"/>
        </w:trPr>
        <w:tc>
          <w:tcPr>
            <w:tcW w:w="1712"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宋体" w:hAnsi="宋体" w:eastAsia="宋体" w:cs="仿宋"/>
                <w:color w:val="auto"/>
                <w:kern w:val="2"/>
                <w:sz w:val="21"/>
                <w:szCs w:val="21"/>
              </w:rPr>
              <w:t>序号</w:t>
            </w:r>
          </w:p>
        </w:tc>
        <w:tc>
          <w:tcPr>
            <w:tcW w:w="2707"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Times New Roman" w:hAnsi="宋体" w:eastAsia="宋体" w:cs="宋体"/>
                <w:color w:val="auto"/>
                <w:kern w:val="2"/>
                <w:sz w:val="21"/>
                <w:szCs w:val="21"/>
              </w:rPr>
              <w:t>证明材料</w:t>
            </w:r>
            <w:r>
              <w:rPr>
                <w:rFonts w:hint="eastAsia" w:ascii="宋体" w:hAnsi="宋体" w:eastAsia="宋体" w:cs="仿宋"/>
                <w:color w:val="auto"/>
                <w:kern w:val="2"/>
                <w:sz w:val="21"/>
                <w:szCs w:val="21"/>
              </w:rPr>
              <w:t>名称</w:t>
            </w: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Times New Roman" w:hAnsi="宋体" w:eastAsia="宋体" w:cs="宋体"/>
                <w:color w:val="auto"/>
                <w:kern w:val="2"/>
                <w:sz w:val="21"/>
                <w:szCs w:val="21"/>
              </w:rPr>
              <w:t>证明材料</w:t>
            </w:r>
            <w:r>
              <w:rPr>
                <w:rFonts w:hint="eastAsia" w:ascii="宋体" w:hAnsi="宋体" w:eastAsia="宋体" w:cs="仿宋"/>
                <w:color w:val="auto"/>
                <w:kern w:val="2"/>
                <w:sz w:val="21"/>
                <w:szCs w:val="21"/>
              </w:rPr>
              <w:t>来源</w:t>
            </w: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宋体" w:hAnsi="宋体" w:eastAsia="宋体" w:cs="仿宋"/>
                <w:color w:val="auto"/>
                <w:kern w:val="2"/>
                <w:sz w:val="21"/>
                <w:szCs w:val="21"/>
              </w:rPr>
              <w:t xml:space="preserve">证明对象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2" w:hRule="atLeast"/>
        </w:trPr>
        <w:tc>
          <w:tcPr>
            <w:tcW w:w="1712"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宋体" w:hAnsi="宋体" w:eastAsia="宋体" w:cs="仿宋"/>
                <w:color w:val="auto"/>
                <w:kern w:val="2"/>
                <w:sz w:val="21"/>
                <w:szCs w:val="21"/>
              </w:rPr>
              <w:t xml:space="preserve">1 </w:t>
            </w:r>
          </w:p>
        </w:tc>
        <w:tc>
          <w:tcPr>
            <w:tcW w:w="2707"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2" w:hRule="atLeast"/>
        </w:trPr>
        <w:tc>
          <w:tcPr>
            <w:tcW w:w="1712"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宋体" w:hAnsi="宋体" w:eastAsia="宋体" w:cs="仿宋"/>
                <w:color w:val="auto"/>
                <w:kern w:val="2"/>
                <w:sz w:val="21"/>
                <w:szCs w:val="21"/>
              </w:rPr>
              <w:t xml:space="preserve">2 </w:t>
            </w:r>
          </w:p>
        </w:tc>
        <w:tc>
          <w:tcPr>
            <w:tcW w:w="2707"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2" w:hRule="atLeast"/>
        </w:trPr>
        <w:tc>
          <w:tcPr>
            <w:tcW w:w="1712"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widowControl w:val="0"/>
              <w:autoSpaceDE w:val="0"/>
              <w:autoSpaceDN w:val="0"/>
              <w:spacing w:after="0"/>
              <w:rPr>
                <w:rFonts w:ascii="宋体" w:hAnsi="宋体" w:eastAsia="宋体" w:cs="仿宋"/>
                <w:color w:val="auto"/>
                <w:kern w:val="2"/>
              </w:rPr>
            </w:pPr>
            <w:r>
              <w:rPr>
                <w:rFonts w:hint="eastAsia" w:ascii="宋体" w:hAnsi="宋体" w:eastAsia="宋体" w:cs="仿宋"/>
                <w:color w:val="auto"/>
                <w:kern w:val="2"/>
                <w:sz w:val="21"/>
                <w:szCs w:val="21"/>
              </w:rPr>
              <w:t>……</w:t>
            </w:r>
          </w:p>
        </w:tc>
        <w:tc>
          <w:tcPr>
            <w:tcW w:w="2707"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c>
          <w:tcPr>
            <w:tcW w:w="2203" w:type="dxa"/>
            <w:tcBorders>
              <w:top w:val="single" w:color="auto" w:sz="4" w:space="0"/>
              <w:left w:val="single" w:color="auto" w:sz="4" w:space="0"/>
              <w:bottom w:val="single" w:color="auto" w:sz="4" w:space="0"/>
              <w:right w:val="single" w:color="auto" w:sz="4" w:space="0"/>
            </w:tcBorders>
            <w:shd w:val="clear" w:color="auto" w:fill="auto"/>
            <w:tcMar>
              <w:top w:w="72" w:type="dxa"/>
              <w:left w:w="144" w:type="dxa"/>
              <w:bottom w:w="72" w:type="dxa"/>
              <w:right w:w="144" w:type="dxa"/>
            </w:tcMar>
          </w:tcPr>
          <w:p>
            <w:pPr>
              <w:rPr>
                <w:rFonts w:ascii="Calibri" w:hAnsi="Calibri" w:cs="Times New Roman"/>
                <w:color w:val="auto"/>
                <w:kern w:val="2"/>
                <w:sz w:val="21"/>
              </w:rPr>
            </w:pPr>
          </w:p>
        </w:tc>
      </w:tr>
    </w:tbl>
    <w:p>
      <w:pPr>
        <w:widowControl w:val="0"/>
        <w:autoSpaceDE w:val="0"/>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质疑函制作说明：</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供应商提出质疑时，应提交质疑函和必要的证明材料。</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numPr>
          <w:ilvl w:val="0"/>
          <w:numId w:val="61"/>
        </w:numPr>
        <w:autoSpaceDN w:val="0"/>
        <w:spacing w:after="0" w:line="360" w:lineRule="auto"/>
        <w:rPr>
          <w:rFonts w:ascii="宋体" w:hAnsi="宋体" w:eastAsia="宋体" w:cs="宋体"/>
          <w:b/>
          <w:color w:val="auto"/>
        </w:rPr>
      </w:pPr>
      <w:r>
        <w:rPr>
          <w:rFonts w:hint="eastAsia" w:ascii="宋体" w:hAnsi="宋体" w:eastAsia="宋体" w:cs="宋体"/>
          <w:b/>
          <w:color w:val="auto"/>
          <w:sz w:val="21"/>
          <w:szCs w:val="21"/>
        </w:rPr>
        <w:t>质疑供应商若对项目的某一分包进行质疑，质疑函中应列明具体分包号。</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质疑函的质疑事项应具体、明确，并有必要的事实依据和法律依据。</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质疑函的质疑请求应与质疑事项相关。</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质疑供应商为自然人的，质疑函应由本人签字；质疑供应商为法人或者其他组织的，质疑函应由法定代表人、主要负责人，或者其授权代表签字或者盖章，并加盖公章。</w:t>
      </w:r>
    </w:p>
    <w:p>
      <w:pPr>
        <w:numPr>
          <w:ilvl w:val="0"/>
          <w:numId w:val="61"/>
        </w:numPr>
        <w:autoSpaceDN w:val="0"/>
        <w:spacing w:after="0" w:line="360" w:lineRule="auto"/>
        <w:rPr>
          <w:rFonts w:ascii="宋体" w:hAnsi="宋体" w:eastAsia="宋体" w:cs="宋体"/>
          <w:color w:val="auto"/>
        </w:rPr>
      </w:pPr>
      <w:r>
        <w:rPr>
          <w:rFonts w:hint="eastAsia" w:ascii="宋体" w:hAnsi="宋体" w:eastAsia="宋体" w:cs="宋体"/>
          <w:color w:val="auto"/>
          <w:sz w:val="21"/>
          <w:szCs w:val="21"/>
        </w:rPr>
        <w:t>供应商应在提交的证明材料中对质疑点的内容作出相应的标识或以醒目的方式标明。</w:t>
      </w:r>
    </w:p>
    <w:p>
      <w:pPr>
        <w:spacing w:line="220" w:lineRule="atLeast"/>
        <w:rPr>
          <w:color w:val="auto"/>
        </w:rPr>
      </w:pPr>
    </w:p>
    <w:sectPr>
      <w:type w:val="nextColumn"/>
      <w:pgSz w:w="11915" w:h="16839"/>
      <w:pgMar w:top="1418" w:right="1135" w:bottom="1135" w:left="1135" w:header="283" w:footer="85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59</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COFi7YbAgAAIQQAAA4A&#10;AAAAAAAAAQAgAAAAHwEAAGRycy9lMm9Eb2MueG1sUEsFBgAAAAAGAAYAWQEAAKwFAAAAAA==&#10;">
              <v:fill on="f" focussize="0,0"/>
              <v:stroke on="f" weight="0.5pt"/>
              <v:imagedata o:title=""/>
              <o:lock v:ext="edit" aspectratio="f"/>
              <v:textbox inset="0mm,0mm,0mm,0mm" style="mso-fit-shape-to-text:t;">
                <w:txbxContent>
                  <w:p>
                    <w:pPr>
                      <w:pStyle w:val="1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59</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1"/>
        <w:left w:val="none" w:color="auto" w:sz="0" w:space="4"/>
        <w:bottom w:val="single" w:color="auto" w:sz="2" w:space="1"/>
        <w:right w:val="none" w:color="auto" w:sz="0" w:space="4"/>
        <w:between w:val="none" w:color="auto" w:sz="0" w:space="0"/>
      </w:pBdr>
      <w:adjustRightInd w:val="0"/>
      <w:snapToGrid w:val="0"/>
      <w:spacing w:after="200"/>
      <w:jc w:val="both"/>
      <w:rPr>
        <w:u w:val="none"/>
      </w:rPr>
    </w:pPr>
    <w:r>
      <w:rPr>
        <w:rFonts w:ascii="华文中宋" w:hAnsi="华文中宋" w:eastAsia="华文中宋"/>
        <w:b/>
        <w:sz w:val="72"/>
        <w:u w:val="none"/>
      </w:rPr>
      <w:drawing>
        <wp:inline distT="0" distB="0" distL="114300" distR="114300">
          <wp:extent cx="810895" cy="325755"/>
          <wp:effectExtent l="0" t="0" r="8255" b="17145"/>
          <wp:docPr id="8" name="图片 2" descr="15288957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1528895719(1)"/>
                  <pic:cNvPicPr>
                    <a:picLocks noChangeAspect="1"/>
                  </pic:cNvPicPr>
                </pic:nvPicPr>
                <pic:blipFill>
                  <a:blip r:embed="rId1"/>
                  <a:stretch>
                    <a:fillRect/>
                  </a:stretch>
                </pic:blipFill>
                <pic:spPr>
                  <a:xfrm>
                    <a:off x="0" y="0"/>
                    <a:ext cx="810895" cy="325755"/>
                  </a:xfrm>
                  <a:prstGeom prst="rect">
                    <a:avLst/>
                  </a:prstGeom>
                  <a:noFill/>
                  <a:ln>
                    <a:noFill/>
                  </a:ln>
                </pic:spPr>
              </pic:pic>
            </a:graphicData>
          </a:graphic>
        </wp:inline>
      </w:drawing>
    </w:r>
    <w:r>
      <w:rPr>
        <w:rFonts w:hint="eastAsia" w:ascii="宋体" w:hAnsi="宋体"/>
        <w:u w:val="none"/>
      </w:rPr>
      <w:t xml:space="preserve">︱公平︱公正︱诚实︱守信︱                                   </w:t>
    </w:r>
    <w:r>
      <w:rPr>
        <w:rFonts w:hint="eastAsia" w:ascii="宋体"/>
        <w:bCs/>
        <w:u w:val="none"/>
      </w:rPr>
      <w:t>项目编号：GZGX20GZ00ZC-33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BD7D03"/>
    <w:multiLevelType w:val="singleLevel"/>
    <w:tmpl w:val="81BD7D03"/>
    <w:lvl w:ilvl="0" w:tentative="0">
      <w:start w:val="1"/>
      <w:numFmt w:val="decimal"/>
      <w:lvlText w:val="%1."/>
      <w:lvlJc w:val="left"/>
      <w:pPr>
        <w:ind w:left="425" w:hanging="425"/>
      </w:pPr>
      <w:rPr>
        <w:rFonts w:hint="default"/>
      </w:rPr>
    </w:lvl>
  </w:abstractNum>
  <w:abstractNum w:abstractNumId="1">
    <w:nsid w:val="83A01CA4"/>
    <w:multiLevelType w:val="multilevel"/>
    <w:tmpl w:val="83A01CA4"/>
    <w:lvl w:ilvl="0" w:tentative="0">
      <w:start w:val="1"/>
      <w:numFmt w:val="decimal"/>
      <w:lvlText w:val="%1"/>
      <w:lvlJc w:val="center"/>
      <w:pPr>
        <w:tabs>
          <w:tab w:val="left" w:pos="142"/>
        </w:tabs>
        <w:ind w:left="142" w:firstLine="38"/>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859EA54A"/>
    <w:multiLevelType w:val="singleLevel"/>
    <w:tmpl w:val="859EA54A"/>
    <w:lvl w:ilvl="0" w:tentative="0">
      <w:start w:val="1"/>
      <w:numFmt w:val="decimal"/>
      <w:lvlText w:val="%1."/>
      <w:lvlJc w:val="left"/>
      <w:pPr>
        <w:ind w:left="425" w:hanging="425"/>
      </w:pPr>
      <w:rPr>
        <w:rFonts w:hint="default"/>
      </w:rPr>
    </w:lvl>
  </w:abstractNum>
  <w:abstractNum w:abstractNumId="3">
    <w:nsid w:val="8660B863"/>
    <w:multiLevelType w:val="multilevel"/>
    <w:tmpl w:val="8660B863"/>
    <w:lvl w:ilvl="0" w:tentative="0">
      <w:start w:val="1"/>
      <w:numFmt w:val="decimal"/>
      <w:lvlText w:val="%1."/>
      <w:lvlJc w:val="left"/>
      <w:pPr>
        <w:tabs>
          <w:tab w:val="left" w:pos="425"/>
        </w:tabs>
        <w:ind w:left="425" w:hanging="425"/>
      </w:pPr>
      <w:rPr>
        <w:rFonts w:ascii="宋体" w:hAnsi="宋体" w:eastAsia="宋体"/>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4">
    <w:nsid w:val="89412162"/>
    <w:multiLevelType w:val="multilevel"/>
    <w:tmpl w:val="89412162"/>
    <w:lvl w:ilvl="0" w:tentative="0">
      <w:start w:val="1"/>
      <w:numFmt w:val="decimal"/>
      <w:lvlText w:val="%1."/>
      <w:lvlJc w:val="left"/>
      <w:pPr>
        <w:tabs>
          <w:tab w:val="left" w:pos="420"/>
        </w:tabs>
        <w:ind w:left="420" w:hanging="420"/>
      </w:pPr>
      <w:rPr>
        <w:color w:val="auto"/>
      </w:rPr>
    </w:lvl>
    <w:lvl w:ilvl="1" w:tentative="0">
      <w:start w:val="1"/>
      <w:numFmt w:val="decimal"/>
      <w:lvlText w:val="（%2）"/>
      <w:lvlJc w:val="left"/>
      <w:pPr>
        <w:tabs>
          <w:tab w:val="left" w:pos="780"/>
        </w:tabs>
        <w:ind w:left="780" w:hanging="360"/>
      </w:pPr>
    </w:lvl>
    <w:lvl w:ilvl="2" w:tentative="0">
      <w:start w:val="1"/>
      <w:numFmt w:val="lowerLetter"/>
      <w:lvlText w:val="%3."/>
      <w:lvlJc w:val="left"/>
      <w:pPr>
        <w:tabs>
          <w:tab w:val="left" w:pos="1200"/>
        </w:tabs>
        <w:ind w:left="120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8970BC71"/>
    <w:multiLevelType w:val="multilevel"/>
    <w:tmpl w:val="8970BC71"/>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8A9C9BD9"/>
    <w:multiLevelType w:val="singleLevel"/>
    <w:tmpl w:val="8A9C9BD9"/>
    <w:lvl w:ilvl="0" w:tentative="0">
      <w:start w:val="1"/>
      <w:numFmt w:val="decimal"/>
      <w:lvlText w:val="%1."/>
      <w:lvlJc w:val="left"/>
      <w:pPr>
        <w:ind w:left="425" w:hanging="425"/>
      </w:pPr>
      <w:rPr>
        <w:rFonts w:hint="default"/>
      </w:rPr>
    </w:lvl>
  </w:abstractNum>
  <w:abstractNum w:abstractNumId="7">
    <w:nsid w:val="8D0FF33A"/>
    <w:multiLevelType w:val="singleLevel"/>
    <w:tmpl w:val="8D0FF33A"/>
    <w:lvl w:ilvl="0" w:tentative="0">
      <w:start w:val="1"/>
      <w:numFmt w:val="decimal"/>
      <w:lvlText w:val="%1."/>
      <w:lvlJc w:val="left"/>
      <w:pPr>
        <w:ind w:left="425" w:hanging="425"/>
      </w:pPr>
      <w:rPr>
        <w:rFonts w:hint="default"/>
      </w:rPr>
    </w:lvl>
  </w:abstractNum>
  <w:abstractNum w:abstractNumId="8">
    <w:nsid w:val="8EBD71A8"/>
    <w:multiLevelType w:val="multilevel"/>
    <w:tmpl w:val="8EBD71A8"/>
    <w:lvl w:ilvl="0" w:tentative="0">
      <w:start w:val="1"/>
      <w:numFmt w:val="decimal"/>
      <w:lvlText w:val="%1"/>
      <w:lvlJc w:val="left"/>
      <w:pPr>
        <w:tabs>
          <w:tab w:val="left" w:pos="142"/>
        </w:tabs>
        <w:ind w:left="142" w:hanging="142"/>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90E448D4"/>
    <w:multiLevelType w:val="singleLevel"/>
    <w:tmpl w:val="90E448D4"/>
    <w:lvl w:ilvl="0" w:tentative="0">
      <w:start w:val="1"/>
      <w:numFmt w:val="decimal"/>
      <w:lvlText w:val="(%1)"/>
      <w:lvlJc w:val="left"/>
      <w:pPr>
        <w:ind w:left="425" w:hanging="425"/>
      </w:pPr>
      <w:rPr>
        <w:rFonts w:hint="default"/>
      </w:rPr>
    </w:lvl>
  </w:abstractNum>
  <w:abstractNum w:abstractNumId="10">
    <w:nsid w:val="96DB3D22"/>
    <w:multiLevelType w:val="singleLevel"/>
    <w:tmpl w:val="96DB3D22"/>
    <w:lvl w:ilvl="0" w:tentative="0">
      <w:start w:val="1"/>
      <w:numFmt w:val="decimal"/>
      <w:lvlText w:val="%1."/>
      <w:lvlJc w:val="left"/>
      <w:pPr>
        <w:ind w:left="425" w:hanging="425"/>
      </w:pPr>
      <w:rPr>
        <w:rFonts w:hint="default"/>
      </w:rPr>
    </w:lvl>
  </w:abstractNum>
  <w:abstractNum w:abstractNumId="11">
    <w:nsid w:val="9A5F2495"/>
    <w:multiLevelType w:val="singleLevel"/>
    <w:tmpl w:val="9A5F2495"/>
    <w:lvl w:ilvl="0" w:tentative="0">
      <w:start w:val="1"/>
      <w:numFmt w:val="chineseCounting"/>
      <w:suff w:val="nothing"/>
      <w:lvlText w:val="（%1）"/>
      <w:lvlJc w:val="left"/>
      <w:pPr>
        <w:ind w:left="0" w:firstLine="420"/>
      </w:pPr>
      <w:rPr>
        <w:rFonts w:hint="eastAsia"/>
      </w:rPr>
    </w:lvl>
  </w:abstractNum>
  <w:abstractNum w:abstractNumId="12">
    <w:nsid w:val="9EB3B019"/>
    <w:multiLevelType w:val="singleLevel"/>
    <w:tmpl w:val="9EB3B019"/>
    <w:lvl w:ilvl="0" w:tentative="0">
      <w:start w:val="1"/>
      <w:numFmt w:val="decimal"/>
      <w:lvlText w:val="%1."/>
      <w:lvlJc w:val="left"/>
      <w:pPr>
        <w:ind w:left="425" w:hanging="425"/>
      </w:pPr>
      <w:rPr>
        <w:rFonts w:hint="default"/>
      </w:rPr>
    </w:lvl>
  </w:abstractNum>
  <w:abstractNum w:abstractNumId="13">
    <w:nsid w:val="A019066F"/>
    <w:multiLevelType w:val="singleLevel"/>
    <w:tmpl w:val="A019066F"/>
    <w:lvl w:ilvl="0" w:tentative="0">
      <w:start w:val="1"/>
      <w:numFmt w:val="decimal"/>
      <w:lvlText w:val="%1."/>
      <w:lvlJc w:val="left"/>
      <w:pPr>
        <w:ind w:left="425" w:hanging="425"/>
      </w:pPr>
      <w:rPr>
        <w:rFonts w:hint="default"/>
      </w:rPr>
    </w:lvl>
  </w:abstractNum>
  <w:abstractNum w:abstractNumId="14">
    <w:nsid w:val="A5DF28C0"/>
    <w:multiLevelType w:val="multilevel"/>
    <w:tmpl w:val="A5DF28C0"/>
    <w:lvl w:ilvl="0" w:tentative="0">
      <w:start w:val="7"/>
      <w:numFmt w:val="decimal"/>
      <w:lvlText w:val="%1."/>
      <w:lvlJc w:val="left"/>
      <w:pPr>
        <w:tabs>
          <w:tab w:val="left" w:pos="425"/>
        </w:tabs>
        <w:ind w:left="425" w:hanging="425"/>
      </w:pPr>
      <w:rPr>
        <w:rFonts w:hint="eastAsia" w:ascii="宋体" w:hAnsi="宋体" w:eastAsia="宋体" w:cs="宋体"/>
        <w:b w:val="0"/>
        <w:color w:val="auto"/>
      </w:rPr>
    </w:lvl>
    <w:lvl w:ilvl="1" w:tentative="0">
      <w:start w:val="1"/>
      <w:numFmt w:val="decimal"/>
      <w:lvlText w:val="%2."/>
      <w:lvlJc w:val="left"/>
      <w:pPr>
        <w:tabs>
          <w:tab w:val="left" w:pos="567"/>
        </w:tabs>
        <w:ind w:left="567" w:hanging="567"/>
      </w:pPr>
      <w:rPr>
        <w:b w:val="0"/>
        <w:color w:val="auto"/>
      </w:rPr>
    </w:lvl>
    <w:lvl w:ilvl="2" w:tentative="0">
      <w:start w:val="1"/>
      <w:numFmt w:val="decimal"/>
      <w:lvlText w:val="%1.%2.%3"/>
      <w:lvlJc w:val="left"/>
      <w:pPr>
        <w:tabs>
          <w:tab w:val="left" w:pos="709"/>
        </w:tabs>
        <w:ind w:left="709" w:hanging="709"/>
      </w:pPr>
      <w:rPr>
        <w:rFonts w:hint="eastAsia" w:ascii="宋体" w:hAnsi="宋体" w:eastAsia="宋体" w:cs="宋体"/>
        <w:color w:val="auto"/>
      </w:rPr>
    </w:lvl>
    <w:lvl w:ilvl="3" w:tentative="0">
      <w:start w:val="1"/>
      <w:numFmt w:val="decimal"/>
      <w:lvlText w:val="%1.%2.%3.%4."/>
      <w:lvlJc w:val="left"/>
      <w:pPr>
        <w:tabs>
          <w:tab w:val="left" w:pos="851"/>
        </w:tabs>
        <w:ind w:left="851" w:hanging="851"/>
      </w:pPr>
      <w:rPr>
        <w:rFonts w:hint="eastAsia" w:ascii="宋体" w:hAnsi="宋体" w:eastAsia="宋体" w:cs="宋体"/>
      </w:r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5">
    <w:nsid w:val="A6D9697D"/>
    <w:multiLevelType w:val="multilevel"/>
    <w:tmpl w:val="A6D9697D"/>
    <w:lvl w:ilvl="0" w:tentative="0">
      <w:start w:val="1"/>
      <w:numFmt w:val="decimal"/>
      <w:lvlText w:val="%1."/>
      <w:lvlJc w:val="left"/>
      <w:pPr>
        <w:ind w:left="425" w:hanging="425"/>
      </w:pPr>
    </w:lvl>
    <w:lvl w:ilvl="1" w:tentative="0">
      <w:start w:val="1"/>
      <w:numFmt w:val="decimal"/>
      <w:lvlText w:val="%1.%2."/>
      <w:lvlJc w:val="left"/>
      <w:pPr>
        <w:ind w:left="567" w:hanging="567"/>
      </w:pPr>
      <w:rPr>
        <w:rFonts w:ascii="宋体" w:hAnsi="宋体" w:eastAsia="宋体"/>
        <w:color w:val="auto"/>
      </w:rPr>
    </w:lvl>
    <w:lvl w:ilvl="2" w:tentative="0">
      <w:start w:val="1"/>
      <w:numFmt w:val="decimal"/>
      <w:lvlText w:val="%1.%2.%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5" w:hanging="1135"/>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6">
    <w:nsid w:val="B1D14FA7"/>
    <w:multiLevelType w:val="multilevel"/>
    <w:tmpl w:val="B1D14FA7"/>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7">
    <w:nsid w:val="B1F3AC6A"/>
    <w:multiLevelType w:val="multilevel"/>
    <w:tmpl w:val="B1F3AC6A"/>
    <w:lvl w:ilvl="0" w:tentative="0">
      <w:start w:val="3"/>
      <w:numFmt w:val="chineseCountingThousand"/>
      <w:lvlText w:val="%1、"/>
      <w:lvlJc w:val="left"/>
      <w:pPr>
        <w:tabs>
          <w:tab w:val="left" w:pos="420"/>
        </w:tabs>
        <w:ind w:left="420" w:hanging="420"/>
      </w:pPr>
      <w:rPr>
        <w:b/>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B23D30DA"/>
    <w:multiLevelType w:val="multilevel"/>
    <w:tmpl w:val="B23D30DA"/>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5" w:hanging="1135"/>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9">
    <w:nsid w:val="B714326A"/>
    <w:multiLevelType w:val="multilevel"/>
    <w:tmpl w:val="B71432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0">
    <w:nsid w:val="B85555A1"/>
    <w:multiLevelType w:val="singleLevel"/>
    <w:tmpl w:val="B85555A1"/>
    <w:lvl w:ilvl="0" w:tentative="0">
      <w:start w:val="1"/>
      <w:numFmt w:val="chineseCounting"/>
      <w:suff w:val="nothing"/>
      <w:lvlText w:val="（%1）"/>
      <w:lvlJc w:val="left"/>
      <w:pPr>
        <w:ind w:left="0" w:firstLine="420"/>
      </w:pPr>
      <w:rPr>
        <w:rFonts w:hint="eastAsia"/>
      </w:rPr>
    </w:lvl>
  </w:abstractNum>
  <w:abstractNum w:abstractNumId="21">
    <w:nsid w:val="BEE1BFC7"/>
    <w:multiLevelType w:val="multilevel"/>
    <w:tmpl w:val="BEE1BFC7"/>
    <w:lvl w:ilvl="0" w:tentative="0">
      <w:start w:val="1"/>
      <w:numFmt w:val="decimal"/>
      <w:lvlText w:val="%1."/>
      <w:lvlJc w:val="left"/>
      <w:pPr>
        <w:ind w:left="420" w:hanging="420"/>
      </w:pPr>
      <w:rPr>
        <w:sz w:val="21"/>
        <w:szCs w:val="21"/>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2">
    <w:nsid w:val="CACB251E"/>
    <w:multiLevelType w:val="singleLevel"/>
    <w:tmpl w:val="CACB251E"/>
    <w:lvl w:ilvl="0" w:tentative="0">
      <w:start w:val="1"/>
      <w:numFmt w:val="decimal"/>
      <w:lvlText w:val="%1."/>
      <w:lvlJc w:val="left"/>
      <w:pPr>
        <w:ind w:left="425" w:hanging="425"/>
      </w:pPr>
      <w:rPr>
        <w:rFonts w:hint="default"/>
      </w:rPr>
    </w:lvl>
  </w:abstractNum>
  <w:abstractNum w:abstractNumId="23">
    <w:nsid w:val="CC66595E"/>
    <w:multiLevelType w:val="multilevel"/>
    <w:tmpl w:val="CC66595E"/>
    <w:lvl w:ilvl="0" w:tentative="0">
      <w:start w:val="1"/>
      <w:numFmt w:val="japaneseCounting"/>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CF9784FD"/>
    <w:multiLevelType w:val="singleLevel"/>
    <w:tmpl w:val="CF9784FD"/>
    <w:lvl w:ilvl="0" w:tentative="0">
      <w:start w:val="1"/>
      <w:numFmt w:val="decimal"/>
      <w:lvlText w:val="%1)"/>
      <w:lvlJc w:val="left"/>
      <w:pPr>
        <w:ind w:left="425" w:hanging="425"/>
      </w:pPr>
      <w:rPr>
        <w:rFonts w:hint="default"/>
      </w:rPr>
    </w:lvl>
  </w:abstractNum>
  <w:abstractNum w:abstractNumId="25">
    <w:nsid w:val="D7CB59EA"/>
    <w:multiLevelType w:val="multilevel"/>
    <w:tmpl w:val="D7CB59EA"/>
    <w:lvl w:ilvl="0" w:tentative="0">
      <w:start w:val="1"/>
      <w:numFmt w:val="decimal"/>
      <w:lvlText w:val="%1"/>
      <w:lvlJc w:val="left"/>
      <w:pPr>
        <w:tabs>
          <w:tab w:val="left" w:pos="142"/>
        </w:tabs>
        <w:ind w:left="142" w:hanging="142"/>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6">
    <w:nsid w:val="DAF59174"/>
    <w:multiLevelType w:val="multilevel"/>
    <w:tmpl w:val="DAF59174"/>
    <w:lvl w:ilvl="0" w:tentative="0">
      <w:start w:val="1"/>
      <w:numFmt w:val="decimal"/>
      <w:lvlText w:val="%1."/>
      <w:lvlJc w:val="left"/>
      <w:pPr>
        <w:tabs>
          <w:tab w:val="left" w:pos="1200"/>
        </w:tabs>
        <w:ind w:left="1200" w:hanging="360"/>
      </w:pPr>
      <w:rPr>
        <w:rFonts w:hint="eastAsia" w:ascii="宋体" w:hAnsi="宋体" w:eastAsia="宋体" w:cs="Times New Roman"/>
        <w:b w:val="0"/>
        <w:color w:val="auto"/>
      </w:rPr>
    </w:lvl>
    <w:lvl w:ilvl="1" w:tentative="0">
      <w:start w:val="1"/>
      <w:numFmt w:val="decimal"/>
      <w:lvlText w:val="%2．"/>
      <w:lvlJc w:val="left"/>
      <w:pPr>
        <w:tabs>
          <w:tab w:val="left" w:pos="1620"/>
        </w:tabs>
        <w:ind w:left="1620" w:hanging="360"/>
      </w:pPr>
      <w:rPr>
        <w:rFonts w:hint="eastAsia" w:ascii="宋体" w:hAnsi="宋体" w:eastAsia="宋体" w:cs="Times New Roman"/>
      </w:rPr>
    </w:lvl>
    <w:lvl w:ilvl="2" w:tentative="0">
      <w:start w:val="1"/>
      <w:numFmt w:val="decimal"/>
      <w:lvlText w:val="%3."/>
      <w:lvlJc w:val="left"/>
      <w:pPr>
        <w:tabs>
          <w:tab w:val="left" w:pos="2040"/>
        </w:tabs>
        <w:ind w:left="204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7">
    <w:nsid w:val="E7F934FA"/>
    <w:multiLevelType w:val="singleLevel"/>
    <w:tmpl w:val="E7F934FA"/>
    <w:lvl w:ilvl="0" w:tentative="0">
      <w:start w:val="1"/>
      <w:numFmt w:val="decimal"/>
      <w:lvlText w:val="%1."/>
      <w:lvlJc w:val="left"/>
      <w:pPr>
        <w:ind w:left="425" w:hanging="425"/>
      </w:pPr>
      <w:rPr>
        <w:rFonts w:hint="default"/>
      </w:rPr>
    </w:lvl>
  </w:abstractNum>
  <w:abstractNum w:abstractNumId="28">
    <w:nsid w:val="009FF013"/>
    <w:multiLevelType w:val="singleLevel"/>
    <w:tmpl w:val="009FF013"/>
    <w:lvl w:ilvl="0" w:tentative="0">
      <w:start w:val="1"/>
      <w:numFmt w:val="decimal"/>
      <w:lvlText w:val="(%1)"/>
      <w:lvlJc w:val="left"/>
      <w:pPr>
        <w:tabs>
          <w:tab w:val="left" w:pos="397"/>
        </w:tabs>
        <w:ind w:left="0" w:firstLine="0"/>
      </w:pPr>
      <w:rPr>
        <w:rFonts w:hint="default"/>
      </w:rPr>
    </w:lvl>
  </w:abstractNum>
  <w:abstractNum w:abstractNumId="29">
    <w:nsid w:val="03458DB7"/>
    <w:multiLevelType w:val="multilevel"/>
    <w:tmpl w:val="03458DB7"/>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05559873"/>
    <w:multiLevelType w:val="multilevel"/>
    <w:tmpl w:val="05559873"/>
    <w:lvl w:ilvl="0" w:tentative="0">
      <w:start w:val="1"/>
      <w:numFmt w:val="decimal"/>
      <w:lvlText w:val="%1."/>
      <w:lvlJc w:val="left"/>
      <w:pPr>
        <w:ind w:left="425" w:hanging="42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1">
    <w:nsid w:val="071587EF"/>
    <w:multiLevelType w:val="multilevel"/>
    <w:tmpl w:val="071587EF"/>
    <w:lvl w:ilvl="0" w:tentative="0">
      <w:start w:val="1"/>
      <w:numFmt w:val="chineseCountingThousand"/>
      <w:lvlText w:val="%1、"/>
      <w:lvlJc w:val="left"/>
      <w:pPr>
        <w:tabs>
          <w:tab w:val="left" w:pos="1200"/>
        </w:tabs>
        <w:ind w:left="1200" w:hanging="360"/>
      </w:pPr>
      <w:rPr>
        <w:b w:val="0"/>
        <w:color w:val="auto"/>
      </w:rPr>
    </w:lvl>
    <w:lvl w:ilvl="1" w:tentative="0">
      <w:start w:val="1"/>
      <w:numFmt w:val="decimal"/>
      <w:lvlText w:val="%2．"/>
      <w:lvlJc w:val="left"/>
      <w:pPr>
        <w:tabs>
          <w:tab w:val="left" w:pos="1620"/>
        </w:tabs>
        <w:ind w:left="1620" w:hanging="360"/>
      </w:pPr>
      <w:rPr>
        <w:rFonts w:hint="eastAsia" w:ascii="宋体" w:hAnsi="宋体" w:eastAsia="宋体" w:cs="Times New Roman"/>
      </w:rPr>
    </w:lvl>
    <w:lvl w:ilvl="2" w:tentative="0">
      <w:start w:val="1"/>
      <w:numFmt w:val="decimal"/>
      <w:lvlText w:val="%3."/>
      <w:lvlJc w:val="left"/>
      <w:pPr>
        <w:tabs>
          <w:tab w:val="left" w:pos="2040"/>
        </w:tabs>
        <w:ind w:left="204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2">
    <w:nsid w:val="0DC57C63"/>
    <w:multiLevelType w:val="singleLevel"/>
    <w:tmpl w:val="0DC57C63"/>
    <w:lvl w:ilvl="0" w:tentative="0">
      <w:start w:val="1"/>
      <w:numFmt w:val="decimal"/>
      <w:lvlText w:val="%1."/>
      <w:lvlJc w:val="left"/>
      <w:pPr>
        <w:ind w:left="425" w:hanging="425"/>
      </w:pPr>
      <w:rPr>
        <w:rFonts w:hint="default"/>
      </w:rPr>
    </w:lvl>
  </w:abstractNum>
  <w:abstractNum w:abstractNumId="33">
    <w:nsid w:val="0EC308FA"/>
    <w:multiLevelType w:val="multilevel"/>
    <w:tmpl w:val="0EC308FA"/>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34">
    <w:nsid w:val="12EA3875"/>
    <w:multiLevelType w:val="singleLevel"/>
    <w:tmpl w:val="12EA3875"/>
    <w:lvl w:ilvl="0" w:tentative="0">
      <w:start w:val="1"/>
      <w:numFmt w:val="decimal"/>
      <w:lvlText w:val="%1."/>
      <w:lvlJc w:val="left"/>
      <w:pPr>
        <w:ind w:left="425" w:hanging="425"/>
      </w:pPr>
      <w:rPr>
        <w:rFonts w:hint="default"/>
      </w:rPr>
    </w:lvl>
  </w:abstractNum>
  <w:abstractNum w:abstractNumId="35">
    <w:nsid w:val="136F6538"/>
    <w:multiLevelType w:val="multilevel"/>
    <w:tmpl w:val="136F6538"/>
    <w:lvl w:ilvl="0" w:tentative="0">
      <w:start w:val="1"/>
      <w:numFmt w:val="decimal"/>
      <w:lvlText w:val="%1."/>
      <w:lvlJc w:val="left"/>
      <w:pPr>
        <w:tabs>
          <w:tab w:val="left" w:pos="420"/>
        </w:tabs>
        <w:ind w:left="420" w:hanging="420"/>
      </w:pPr>
      <w:rPr>
        <w:rFonts w:hint="eastAsia" w:ascii="宋体" w:hAnsi="宋体" w:eastAsia="宋体" w:cs="宋体"/>
        <w:b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6">
    <w:nsid w:val="19E9D394"/>
    <w:multiLevelType w:val="multilevel"/>
    <w:tmpl w:val="19E9D394"/>
    <w:lvl w:ilvl="0" w:tentative="0">
      <w:start w:val="1"/>
      <w:numFmt w:val="decimal"/>
      <w:lvlText w:val="%1."/>
      <w:lvlJc w:val="left"/>
      <w:pPr>
        <w:tabs>
          <w:tab w:val="left" w:pos="780"/>
        </w:tabs>
        <w:ind w:left="780" w:hanging="360"/>
      </w:pPr>
      <w:rPr>
        <w:rFonts w:hint="eastAsia" w:ascii="宋体" w:hAnsi="宋体" w:eastAsia="宋体" w:cs="Times New Roman"/>
        <w:color w:val="auto"/>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7">
    <w:nsid w:val="1ECEB13C"/>
    <w:multiLevelType w:val="singleLevel"/>
    <w:tmpl w:val="1ECEB13C"/>
    <w:lvl w:ilvl="0" w:tentative="0">
      <w:start w:val="1"/>
      <w:numFmt w:val="decimal"/>
      <w:lvlText w:val="%1."/>
      <w:lvlJc w:val="left"/>
      <w:pPr>
        <w:ind w:left="425" w:hanging="425"/>
      </w:pPr>
      <w:rPr>
        <w:rFonts w:hint="default"/>
      </w:rPr>
    </w:lvl>
  </w:abstractNum>
  <w:abstractNum w:abstractNumId="38">
    <w:nsid w:val="2636627B"/>
    <w:multiLevelType w:val="singleLevel"/>
    <w:tmpl w:val="2636627B"/>
    <w:lvl w:ilvl="0" w:tentative="0">
      <w:start w:val="1"/>
      <w:numFmt w:val="decimal"/>
      <w:lvlText w:val="%1."/>
      <w:lvlJc w:val="left"/>
      <w:pPr>
        <w:ind w:left="425" w:hanging="425"/>
      </w:pPr>
      <w:rPr>
        <w:rFonts w:hint="default"/>
      </w:rPr>
    </w:lvl>
  </w:abstractNum>
  <w:abstractNum w:abstractNumId="39">
    <w:nsid w:val="2B750D45"/>
    <w:multiLevelType w:val="multilevel"/>
    <w:tmpl w:val="2B750D45"/>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40">
    <w:nsid w:val="2D23426E"/>
    <w:multiLevelType w:val="multilevel"/>
    <w:tmpl w:val="2D23426E"/>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decimal"/>
      <w:lvlText w:val="%2、"/>
      <w:lvlJc w:val="left"/>
      <w:pPr>
        <w:ind w:left="556" w:hanging="420"/>
      </w:pPr>
      <w:rPr>
        <w:rFonts w:hint="eastAsia"/>
      </w:r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41">
    <w:nsid w:val="2E330E48"/>
    <w:multiLevelType w:val="singleLevel"/>
    <w:tmpl w:val="2E330E48"/>
    <w:lvl w:ilvl="0" w:tentative="0">
      <w:start w:val="1"/>
      <w:numFmt w:val="decimal"/>
      <w:lvlText w:val="%1."/>
      <w:lvlJc w:val="left"/>
      <w:pPr>
        <w:ind w:left="425" w:hanging="425"/>
      </w:pPr>
      <w:rPr>
        <w:rFonts w:hint="default"/>
      </w:rPr>
    </w:lvl>
  </w:abstractNum>
  <w:abstractNum w:abstractNumId="42">
    <w:nsid w:val="2E8208DF"/>
    <w:multiLevelType w:val="multilevel"/>
    <w:tmpl w:val="2E8208DF"/>
    <w:lvl w:ilvl="0" w:tentative="0">
      <w:start w:val="1"/>
      <w:numFmt w:val="decimal"/>
      <w:lvlText w:val="%1"/>
      <w:lvlJc w:val="left"/>
      <w:pPr>
        <w:tabs>
          <w:tab w:val="left" w:pos="142"/>
        </w:tabs>
        <w:ind w:left="142" w:hanging="142"/>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3">
    <w:nsid w:val="3BD29C00"/>
    <w:multiLevelType w:val="multilevel"/>
    <w:tmpl w:val="3BD29C00"/>
    <w:lvl w:ilvl="0" w:tentative="0">
      <w:start w:val="2"/>
      <w:numFmt w:val="chineseCountingThousand"/>
      <w:lvlText w:val="%1、"/>
      <w:lvlJc w:val="left"/>
      <w:pPr>
        <w:tabs>
          <w:tab w:val="left" w:pos="420"/>
        </w:tabs>
        <w:ind w:left="420" w:hanging="420"/>
      </w:pPr>
      <w:rPr>
        <w:b/>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4">
    <w:nsid w:val="405A38F8"/>
    <w:multiLevelType w:val="multilevel"/>
    <w:tmpl w:val="405A38F8"/>
    <w:lvl w:ilvl="0" w:tentative="0">
      <w:start w:val="1"/>
      <w:numFmt w:val="decimal"/>
      <w:lvlText w:val="%1"/>
      <w:lvlJc w:val="left"/>
      <w:pPr>
        <w:tabs>
          <w:tab w:val="left" w:pos="360"/>
        </w:tabs>
        <w:ind w:left="360" w:hanging="360"/>
      </w:pPr>
      <w:rPr>
        <w:rFonts w:hint="eastAsia" w:ascii="宋体" w:hAnsi="宋体" w:eastAsia="宋体" w:cs="Times New Roman"/>
        <w:b/>
        <w:color w:val="auto"/>
      </w:rPr>
    </w:lvl>
    <w:lvl w:ilvl="1" w:tentative="0">
      <w:start w:val="1"/>
      <w:numFmt w:val="decimal"/>
      <w:lvlText w:val="%1.%2"/>
      <w:lvlJc w:val="left"/>
      <w:pPr>
        <w:tabs>
          <w:tab w:val="left" w:pos="360"/>
        </w:tabs>
        <w:ind w:left="360" w:hanging="360"/>
      </w:pPr>
      <w:rPr>
        <w:rFonts w:hint="eastAsia" w:ascii="宋体" w:hAnsi="宋体" w:eastAsia="宋体" w:cs="Times New Roman"/>
        <w:b w:val="0"/>
        <w:strike w:val="0"/>
        <w:dstrike w:val="0"/>
        <w:color w:val="auto"/>
        <w:sz w:val="21"/>
        <w:szCs w:val="21"/>
        <w:u w:val="none"/>
      </w:rPr>
    </w:lvl>
    <w:lvl w:ilvl="2" w:tentative="0">
      <w:start w:val="1"/>
      <w:numFmt w:val="decimal"/>
      <w:lvlText w:val="%1.%2.%3"/>
      <w:lvlJc w:val="left"/>
      <w:pPr>
        <w:tabs>
          <w:tab w:val="left" w:pos="720"/>
        </w:tabs>
        <w:ind w:left="720" w:hanging="720"/>
      </w:pPr>
      <w:rPr>
        <w:rFonts w:hint="eastAsia" w:ascii="宋体" w:hAnsi="宋体" w:eastAsia="宋体" w:cs="Times New Roman"/>
        <w:b w:val="0"/>
      </w:rPr>
    </w:lvl>
    <w:lvl w:ilvl="3" w:tentative="0">
      <w:start w:val="1"/>
      <w:numFmt w:val="decimal"/>
      <w:lvlText w:val="%1.%2.%3.%4"/>
      <w:lvlJc w:val="left"/>
      <w:pPr>
        <w:tabs>
          <w:tab w:val="left" w:pos="720"/>
        </w:tabs>
        <w:ind w:left="720" w:hanging="720"/>
      </w:pPr>
    </w:lvl>
    <w:lvl w:ilvl="4" w:tentative="0">
      <w:start w:val="1"/>
      <w:numFmt w:val="decimal"/>
      <w:lvlText w:val="%1.%2.%3.%4.%5"/>
      <w:lvlJc w:val="left"/>
      <w:pPr>
        <w:tabs>
          <w:tab w:val="left" w:pos="1080"/>
        </w:tabs>
        <w:ind w:left="1080" w:hanging="1080"/>
      </w:pPr>
    </w:lvl>
    <w:lvl w:ilvl="5" w:tentative="0">
      <w:start w:val="1"/>
      <w:numFmt w:val="decimal"/>
      <w:lvlText w:val="%1.%2.%3.%4.%5.%6"/>
      <w:lvlJc w:val="left"/>
      <w:pPr>
        <w:tabs>
          <w:tab w:val="left" w:pos="1080"/>
        </w:tabs>
        <w:ind w:left="1080" w:hanging="1080"/>
      </w:pPr>
    </w:lvl>
    <w:lvl w:ilvl="6" w:tentative="0">
      <w:start w:val="1"/>
      <w:numFmt w:val="decimal"/>
      <w:lvlText w:val="%1.%2.%3.%4.%5.%6.%7"/>
      <w:lvlJc w:val="left"/>
      <w:pPr>
        <w:tabs>
          <w:tab w:val="left" w:pos="1080"/>
        </w:tabs>
        <w:ind w:left="1080" w:hanging="1080"/>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440"/>
        </w:tabs>
        <w:ind w:left="1440" w:hanging="1440"/>
      </w:pPr>
    </w:lvl>
  </w:abstractNum>
  <w:abstractNum w:abstractNumId="45">
    <w:nsid w:val="4272B921"/>
    <w:multiLevelType w:val="singleLevel"/>
    <w:tmpl w:val="4272B921"/>
    <w:lvl w:ilvl="0" w:tentative="0">
      <w:start w:val="1"/>
      <w:numFmt w:val="decimal"/>
      <w:lvlText w:val="%1."/>
      <w:lvlJc w:val="left"/>
      <w:pPr>
        <w:ind w:left="425" w:hanging="425"/>
      </w:pPr>
      <w:rPr>
        <w:rFonts w:hint="default"/>
      </w:rPr>
    </w:lvl>
  </w:abstractNum>
  <w:abstractNum w:abstractNumId="46">
    <w:nsid w:val="46ED32E0"/>
    <w:multiLevelType w:val="multilevel"/>
    <w:tmpl w:val="46ED32E0"/>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7">
    <w:nsid w:val="4B1AF512"/>
    <w:multiLevelType w:val="multilevel"/>
    <w:tmpl w:val="4B1AF512"/>
    <w:lvl w:ilvl="0" w:tentative="0">
      <w:start w:val="1"/>
      <w:numFmt w:val="chineseCountingThousand"/>
      <w:lvlText w:val="%1、"/>
      <w:lvlJc w:val="left"/>
      <w:pPr>
        <w:ind w:left="620" w:hanging="420"/>
      </w:pPr>
      <w:rPr>
        <w:color w:val="auto"/>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8">
    <w:nsid w:val="4F30D45F"/>
    <w:multiLevelType w:val="multilevel"/>
    <w:tmpl w:val="4F30D45F"/>
    <w:lvl w:ilvl="0" w:tentative="0">
      <w:start w:val="1"/>
      <w:numFmt w:val="decimal"/>
      <w:lvlText w:val="%1"/>
      <w:lvlJc w:val="center"/>
      <w:pPr>
        <w:tabs>
          <w:tab w:val="left" w:pos="142"/>
        </w:tabs>
        <w:ind w:left="142" w:firstLine="38"/>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9">
    <w:nsid w:val="519DDE05"/>
    <w:multiLevelType w:val="multilevel"/>
    <w:tmpl w:val="519DDE05"/>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ascii="宋体" w:hAnsi="宋体" w:eastAsia="宋体" w:cs="Times New Roman"/>
        <w:b w:val="0"/>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0">
    <w:nsid w:val="5560E50F"/>
    <w:multiLevelType w:val="multilevel"/>
    <w:tmpl w:val="5560E50F"/>
    <w:lvl w:ilvl="0" w:tentative="0">
      <w:start w:val="1"/>
      <w:numFmt w:val="chineseCountingThousand"/>
      <w:lvlText w:val="%1、"/>
      <w:lvlJc w:val="left"/>
      <w:pPr>
        <w:ind w:left="846" w:hanging="420"/>
      </w:pPr>
    </w:lvl>
    <w:lvl w:ilvl="1" w:tentative="0">
      <w:start w:val="1"/>
      <w:numFmt w:val="lowerLetter"/>
      <w:lvlText w:val="%2)"/>
      <w:lvlJc w:val="left"/>
      <w:pPr>
        <w:ind w:left="1266"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1">
    <w:nsid w:val="587E70B4"/>
    <w:multiLevelType w:val="singleLevel"/>
    <w:tmpl w:val="587E70B4"/>
    <w:lvl w:ilvl="0" w:tentative="0">
      <w:start w:val="1"/>
      <w:numFmt w:val="decimal"/>
      <w:lvlText w:val="%1."/>
      <w:lvlJc w:val="left"/>
      <w:pPr>
        <w:ind w:left="425" w:hanging="425"/>
      </w:pPr>
      <w:rPr>
        <w:rFonts w:hint="default"/>
      </w:rPr>
    </w:lvl>
  </w:abstractNum>
  <w:abstractNum w:abstractNumId="52">
    <w:nsid w:val="5DF8A10D"/>
    <w:multiLevelType w:val="multilevel"/>
    <w:tmpl w:val="5DF8A10D"/>
    <w:lvl w:ilvl="0" w:tentative="0">
      <w:start w:val="1"/>
      <w:numFmt w:val="decimal"/>
      <w:lvlText w:val="%1."/>
      <w:lvlJc w:val="left"/>
      <w:pPr>
        <w:tabs>
          <w:tab w:val="left" w:pos="425"/>
        </w:tabs>
        <w:ind w:left="425" w:hanging="425"/>
      </w:pPr>
      <w:rPr>
        <w:rFonts w:hint="eastAsia" w:ascii="宋体" w:hAnsi="宋体" w:eastAsia="宋体" w:cs="宋体"/>
        <w:b w:val="0"/>
        <w:strike w:val="0"/>
        <w:dstrike w:val="0"/>
        <w:u w:val="none"/>
      </w:rPr>
    </w:lvl>
    <w:lvl w:ilvl="1" w:tentative="0">
      <w:start w:val="1"/>
      <w:numFmt w:val="decimal"/>
      <w:lvlText w:val="%1.%2."/>
      <w:lvlJc w:val="left"/>
      <w:pPr>
        <w:tabs>
          <w:tab w:val="left" w:pos="567"/>
        </w:tabs>
        <w:ind w:left="567" w:hanging="567"/>
      </w:pPr>
      <w:rPr>
        <w:rFonts w:ascii="宋体" w:hAnsi="宋体" w:eastAsia="宋体"/>
      </w:r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53">
    <w:nsid w:val="5EB1EA16"/>
    <w:multiLevelType w:val="singleLevel"/>
    <w:tmpl w:val="5EB1EA16"/>
    <w:lvl w:ilvl="0" w:tentative="0">
      <w:start w:val="1"/>
      <w:numFmt w:val="decimal"/>
      <w:suff w:val="nothing"/>
      <w:lvlText w:val="（%1）"/>
      <w:lvlJc w:val="left"/>
    </w:lvl>
  </w:abstractNum>
  <w:abstractNum w:abstractNumId="54">
    <w:nsid w:val="6170F621"/>
    <w:multiLevelType w:val="singleLevel"/>
    <w:tmpl w:val="6170F621"/>
    <w:lvl w:ilvl="0" w:tentative="0">
      <w:start w:val="1"/>
      <w:numFmt w:val="decimal"/>
      <w:lvlText w:val="(%1)"/>
      <w:lvlJc w:val="left"/>
      <w:pPr>
        <w:ind w:left="425" w:hanging="425"/>
      </w:pPr>
      <w:rPr>
        <w:rFonts w:hint="default"/>
      </w:rPr>
    </w:lvl>
  </w:abstractNum>
  <w:abstractNum w:abstractNumId="55">
    <w:nsid w:val="676CE05B"/>
    <w:multiLevelType w:val="multilevel"/>
    <w:tmpl w:val="676CE05B"/>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51"/>
      <w:lvlText w:val="%1.%2.%3.%4"/>
      <w:lvlJc w:val="left"/>
      <w:pPr>
        <w:tabs>
          <w:tab w:val="left" w:pos="2328"/>
        </w:tabs>
        <w:ind w:left="2328"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5"/>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6">
    <w:nsid w:val="67B9B62C"/>
    <w:multiLevelType w:val="multilevel"/>
    <w:tmpl w:val="67B9B62C"/>
    <w:lvl w:ilvl="0" w:tentative="0">
      <w:start w:val="1"/>
      <w:numFmt w:val="decimal"/>
      <w:lvlText w:val="%1."/>
      <w:lvlJc w:val="left"/>
      <w:pPr>
        <w:tabs>
          <w:tab w:val="left" w:pos="600"/>
        </w:tabs>
        <w:ind w:left="60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7">
    <w:nsid w:val="6B791D4E"/>
    <w:multiLevelType w:val="singleLevel"/>
    <w:tmpl w:val="6B791D4E"/>
    <w:lvl w:ilvl="0" w:tentative="0">
      <w:start w:val="2"/>
      <w:numFmt w:val="decimal"/>
      <w:suff w:val="nothing"/>
      <w:lvlText w:val="%1、"/>
      <w:lvlJc w:val="left"/>
    </w:lvl>
  </w:abstractNum>
  <w:abstractNum w:abstractNumId="58">
    <w:nsid w:val="6D943CAE"/>
    <w:multiLevelType w:val="multilevel"/>
    <w:tmpl w:val="6D943CAE"/>
    <w:lvl w:ilvl="0" w:tentative="0">
      <w:start w:val="1"/>
      <w:numFmt w:val="decimal"/>
      <w:lvlText w:val="%1"/>
      <w:lvlJc w:val="left"/>
      <w:pPr>
        <w:tabs>
          <w:tab w:val="left" w:pos="142"/>
        </w:tabs>
        <w:ind w:left="142" w:hanging="142"/>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9">
    <w:nsid w:val="77637CA6"/>
    <w:multiLevelType w:val="singleLevel"/>
    <w:tmpl w:val="77637CA6"/>
    <w:lvl w:ilvl="0" w:tentative="0">
      <w:start w:val="1"/>
      <w:numFmt w:val="decimal"/>
      <w:lvlText w:val="(%1)"/>
      <w:lvlJc w:val="left"/>
      <w:pPr>
        <w:ind w:left="425" w:hanging="425"/>
      </w:pPr>
      <w:rPr>
        <w:rFonts w:hint="default"/>
      </w:rPr>
    </w:lvl>
  </w:abstractNum>
  <w:abstractNum w:abstractNumId="60">
    <w:nsid w:val="7A0514A9"/>
    <w:multiLevelType w:val="multilevel"/>
    <w:tmpl w:val="7A0514A9"/>
    <w:lvl w:ilvl="0" w:tentative="0">
      <w:start w:val="1"/>
      <w:numFmt w:val="decimal"/>
      <w:lvlText w:val="%1."/>
      <w:lvlJc w:val="left"/>
      <w:pPr>
        <w:ind w:left="420" w:hanging="420"/>
      </w:pPr>
      <w:rPr>
        <w:sz w:val="21"/>
        <w:szCs w:val="21"/>
      </w:rPr>
    </w:lvl>
    <w:lvl w:ilvl="1" w:tentative="0">
      <w:start w:val="1"/>
      <w:numFmt w:val="lowerLetter"/>
      <w:lvlText w:val="%2)"/>
      <w:lvlJc w:val="left"/>
      <w:pPr>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55"/>
  </w:num>
  <w:num w:numId="2">
    <w:abstractNumId w:val="23"/>
  </w:num>
  <w:num w:numId="3">
    <w:abstractNumId w:val="31"/>
  </w:num>
  <w:num w:numId="4">
    <w:abstractNumId w:val="26"/>
  </w:num>
  <w:num w:numId="5">
    <w:abstractNumId w:val="24"/>
  </w:num>
  <w:num w:numId="6">
    <w:abstractNumId w:val="14"/>
  </w:num>
  <w:num w:numId="7">
    <w:abstractNumId w:val="15"/>
  </w:num>
  <w:num w:numId="8">
    <w:abstractNumId w:val="19"/>
  </w:num>
  <w:num w:numId="9">
    <w:abstractNumId w:val="46"/>
  </w:num>
  <w:num w:numId="10">
    <w:abstractNumId w:val="4"/>
  </w:num>
  <w:num w:numId="11">
    <w:abstractNumId w:val="53"/>
  </w:num>
  <w:num w:numId="12">
    <w:abstractNumId w:val="5"/>
  </w:num>
  <w:num w:numId="13">
    <w:abstractNumId w:val="47"/>
  </w:num>
  <w:num w:numId="14">
    <w:abstractNumId w:val="1"/>
  </w:num>
  <w:num w:numId="15">
    <w:abstractNumId w:val="60"/>
  </w:num>
  <w:num w:numId="16">
    <w:abstractNumId w:val="21"/>
  </w:num>
  <w:num w:numId="17">
    <w:abstractNumId w:val="32"/>
  </w:num>
  <w:num w:numId="18">
    <w:abstractNumId w:val="34"/>
  </w:num>
  <w:num w:numId="19">
    <w:abstractNumId w:val="57"/>
  </w:num>
  <w:num w:numId="20">
    <w:abstractNumId w:val="18"/>
  </w:num>
  <w:num w:numId="21">
    <w:abstractNumId w:val="52"/>
  </w:num>
  <w:num w:numId="22">
    <w:abstractNumId w:val="56"/>
  </w:num>
  <w:num w:numId="23">
    <w:abstractNumId w:val="43"/>
  </w:num>
  <w:num w:numId="24">
    <w:abstractNumId w:val="17"/>
  </w:num>
  <w:num w:numId="25">
    <w:abstractNumId w:val="11"/>
  </w:num>
  <w:num w:numId="26">
    <w:abstractNumId w:val="13"/>
  </w:num>
  <w:num w:numId="27">
    <w:abstractNumId w:val="37"/>
  </w:num>
  <w:num w:numId="28">
    <w:abstractNumId w:val="38"/>
  </w:num>
  <w:num w:numId="29">
    <w:abstractNumId w:val="22"/>
  </w:num>
  <w:num w:numId="30">
    <w:abstractNumId w:val="28"/>
  </w:num>
  <w:num w:numId="31">
    <w:abstractNumId w:val="9"/>
  </w:num>
  <w:num w:numId="32">
    <w:abstractNumId w:val="45"/>
  </w:num>
  <w:num w:numId="33">
    <w:abstractNumId w:val="10"/>
  </w:num>
  <w:num w:numId="34">
    <w:abstractNumId w:val="27"/>
  </w:num>
  <w:num w:numId="35">
    <w:abstractNumId w:val="33"/>
  </w:num>
  <w:num w:numId="36">
    <w:abstractNumId w:val="29"/>
  </w:num>
  <w:num w:numId="37">
    <w:abstractNumId w:val="20"/>
  </w:num>
  <w:num w:numId="38">
    <w:abstractNumId w:val="2"/>
  </w:num>
  <w:num w:numId="39">
    <w:abstractNumId w:val="7"/>
  </w:num>
  <w:num w:numId="40">
    <w:abstractNumId w:val="12"/>
  </w:num>
  <w:num w:numId="41">
    <w:abstractNumId w:val="59"/>
  </w:num>
  <w:num w:numId="42">
    <w:abstractNumId w:val="54"/>
  </w:num>
  <w:num w:numId="43">
    <w:abstractNumId w:val="0"/>
  </w:num>
  <w:num w:numId="44">
    <w:abstractNumId w:val="41"/>
  </w:num>
  <w:num w:numId="45">
    <w:abstractNumId w:val="39"/>
  </w:num>
  <w:num w:numId="46">
    <w:abstractNumId w:val="16"/>
  </w:num>
  <w:num w:numId="47">
    <w:abstractNumId w:val="6"/>
  </w:num>
  <w:num w:numId="48">
    <w:abstractNumId w:val="8"/>
  </w:num>
  <w:num w:numId="49">
    <w:abstractNumId w:val="25"/>
  </w:num>
  <w:num w:numId="50">
    <w:abstractNumId w:val="58"/>
  </w:num>
  <w:num w:numId="51">
    <w:abstractNumId w:val="36"/>
  </w:num>
  <w:num w:numId="52">
    <w:abstractNumId w:val="50"/>
  </w:num>
  <w:num w:numId="53">
    <w:abstractNumId w:val="3"/>
  </w:num>
  <w:num w:numId="54">
    <w:abstractNumId w:val="40"/>
  </w:num>
  <w:num w:numId="55">
    <w:abstractNumId w:val="48"/>
  </w:num>
  <w:num w:numId="56">
    <w:abstractNumId w:val="35"/>
  </w:num>
  <w:num w:numId="57">
    <w:abstractNumId w:val="51"/>
  </w:num>
  <w:num w:numId="58">
    <w:abstractNumId w:val="49"/>
  </w:num>
  <w:num w:numId="59">
    <w:abstractNumId w:val="42"/>
  </w:num>
  <w:num w:numId="60">
    <w:abstractNumId w:val="44"/>
  </w:num>
  <w:num w:numId="6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isplayHorizontalDrawingGridEvery w:val="1"/>
  <w:displayVerticalDrawingGridEvery w:val="1"/>
  <w:noPunctuationKerning w:val="1"/>
  <w:characterSpacingControl w:val="doNotCompress"/>
  <w:hdrShapeDefaults>
    <o:shapelayout v:ext="edit">
      <o:idmap v:ext="edit" data="2"/>
    </o:shapelayout>
  </w:hdrShapeDefaults>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646B4"/>
    <w:rsid w:val="00083DC9"/>
    <w:rsid w:val="000A5880"/>
    <w:rsid w:val="000A7061"/>
    <w:rsid w:val="00154BAF"/>
    <w:rsid w:val="0016409B"/>
    <w:rsid w:val="001D744B"/>
    <w:rsid w:val="00216C2C"/>
    <w:rsid w:val="00241220"/>
    <w:rsid w:val="0025289F"/>
    <w:rsid w:val="002A6524"/>
    <w:rsid w:val="00303F49"/>
    <w:rsid w:val="00317B0E"/>
    <w:rsid w:val="00323B43"/>
    <w:rsid w:val="00326AC3"/>
    <w:rsid w:val="00351545"/>
    <w:rsid w:val="003629FE"/>
    <w:rsid w:val="003A613A"/>
    <w:rsid w:val="003D37D8"/>
    <w:rsid w:val="00426133"/>
    <w:rsid w:val="004358AB"/>
    <w:rsid w:val="004521D3"/>
    <w:rsid w:val="004A3A62"/>
    <w:rsid w:val="004A65EF"/>
    <w:rsid w:val="004A6CB0"/>
    <w:rsid w:val="00504043"/>
    <w:rsid w:val="005068EE"/>
    <w:rsid w:val="005C6ACF"/>
    <w:rsid w:val="005D09FB"/>
    <w:rsid w:val="005D2397"/>
    <w:rsid w:val="005F5D9E"/>
    <w:rsid w:val="00624E20"/>
    <w:rsid w:val="006A7F89"/>
    <w:rsid w:val="00717C39"/>
    <w:rsid w:val="007B5F84"/>
    <w:rsid w:val="008052ED"/>
    <w:rsid w:val="0086188B"/>
    <w:rsid w:val="008A0653"/>
    <w:rsid w:val="008B7726"/>
    <w:rsid w:val="008D0DDE"/>
    <w:rsid w:val="00910637"/>
    <w:rsid w:val="00964173"/>
    <w:rsid w:val="00981914"/>
    <w:rsid w:val="00985987"/>
    <w:rsid w:val="00A17449"/>
    <w:rsid w:val="00A67983"/>
    <w:rsid w:val="00AB3570"/>
    <w:rsid w:val="00B45699"/>
    <w:rsid w:val="00B92793"/>
    <w:rsid w:val="00BA7AA3"/>
    <w:rsid w:val="00BC76F1"/>
    <w:rsid w:val="00C8733A"/>
    <w:rsid w:val="00CE7B2D"/>
    <w:rsid w:val="00D31D50"/>
    <w:rsid w:val="00DC3CDF"/>
    <w:rsid w:val="00DD5EE1"/>
    <w:rsid w:val="00F86D5B"/>
    <w:rsid w:val="00FB2EB2"/>
    <w:rsid w:val="00FF2689"/>
    <w:rsid w:val="03BD2553"/>
    <w:rsid w:val="048162D9"/>
    <w:rsid w:val="089F3752"/>
    <w:rsid w:val="08D33B2E"/>
    <w:rsid w:val="094209C1"/>
    <w:rsid w:val="0B690CF4"/>
    <w:rsid w:val="0F360660"/>
    <w:rsid w:val="144861F3"/>
    <w:rsid w:val="17347152"/>
    <w:rsid w:val="29671CE7"/>
    <w:rsid w:val="297C5093"/>
    <w:rsid w:val="2BFD19A4"/>
    <w:rsid w:val="2D1826CA"/>
    <w:rsid w:val="2D990462"/>
    <w:rsid w:val="367959A8"/>
    <w:rsid w:val="40BD5034"/>
    <w:rsid w:val="46B448C5"/>
    <w:rsid w:val="48A92596"/>
    <w:rsid w:val="48E87157"/>
    <w:rsid w:val="49BD5D57"/>
    <w:rsid w:val="4BBB1D53"/>
    <w:rsid w:val="4D815BD4"/>
    <w:rsid w:val="4EAD600F"/>
    <w:rsid w:val="4F9C073C"/>
    <w:rsid w:val="50534152"/>
    <w:rsid w:val="544024EF"/>
    <w:rsid w:val="5EE32A5E"/>
    <w:rsid w:val="5F9B5739"/>
    <w:rsid w:val="60D44312"/>
    <w:rsid w:val="62FC392A"/>
    <w:rsid w:val="6C013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name="Body Text 3"/>
    <w:lsdException w:qFormat="1"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38"/>
    <w:semiHidden/>
    <w:unhideWhenUsed/>
    <w:qFormat/>
    <w:uiPriority w:val="9"/>
    <w:pPr>
      <w:keepNext/>
      <w:keepLines/>
      <w:widowControl w:val="0"/>
      <w:adjustRightInd/>
      <w:spacing w:before="260" w:after="260" w:line="415" w:lineRule="auto"/>
      <w:jc w:val="both"/>
      <w:outlineLvl w:val="1"/>
    </w:pPr>
    <w:rPr>
      <w:rFonts w:ascii="Arial" w:hAnsi="Arial" w:eastAsia="黑体" w:cs="Times New Roman"/>
      <w:b/>
      <w:kern w:val="2"/>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41"/>
    <w:semiHidden/>
    <w:unhideWhenUsed/>
    <w:qFormat/>
    <w:uiPriority w:val="99"/>
    <w:pPr>
      <w:shd w:val="clear" w:color="auto" w:fill="000080"/>
    </w:pPr>
  </w:style>
  <w:style w:type="paragraph" w:styleId="4">
    <w:name w:val="annotation text"/>
    <w:basedOn w:val="1"/>
    <w:link w:val="30"/>
    <w:semiHidden/>
    <w:unhideWhenUsed/>
    <w:qFormat/>
    <w:uiPriority w:val="99"/>
    <w:pPr>
      <w:widowControl w:val="0"/>
      <w:autoSpaceDE w:val="0"/>
      <w:autoSpaceDN w:val="0"/>
      <w:spacing w:after="0"/>
    </w:pPr>
    <w:rPr>
      <w:rFonts w:ascii="Times New Roman" w:hAnsi="Times New Roman" w:eastAsia="宋体" w:cs="Times New Roman"/>
      <w:sz w:val="21"/>
      <w:szCs w:val="21"/>
    </w:rPr>
  </w:style>
  <w:style w:type="paragraph" w:styleId="5">
    <w:name w:val="Body Text 3"/>
    <w:basedOn w:val="1"/>
    <w:link w:val="60"/>
    <w:semiHidden/>
    <w:unhideWhenUsed/>
    <w:qFormat/>
    <w:uiPriority w:val="99"/>
    <w:rPr>
      <w:sz w:val="16"/>
    </w:rPr>
  </w:style>
  <w:style w:type="paragraph" w:styleId="6">
    <w:name w:val="Body Text"/>
    <w:basedOn w:val="1"/>
    <w:link w:val="52"/>
    <w:semiHidden/>
    <w:unhideWhenUsed/>
    <w:qFormat/>
    <w:uiPriority w:val="99"/>
    <w:pPr>
      <w:widowControl w:val="0"/>
      <w:adjustRightInd/>
      <w:spacing w:after="120"/>
      <w:jc w:val="both"/>
    </w:pPr>
    <w:rPr>
      <w:rFonts w:ascii="Times New Roman" w:hAnsi="Times New Roman" w:eastAsia="宋体" w:cs="Times New Roman"/>
      <w:kern w:val="2"/>
      <w:sz w:val="21"/>
      <w:szCs w:val="24"/>
    </w:rPr>
  </w:style>
  <w:style w:type="paragraph" w:styleId="7">
    <w:name w:val="Body Text Indent"/>
    <w:basedOn w:val="1"/>
    <w:link w:val="53"/>
    <w:semiHidden/>
    <w:unhideWhenUsed/>
    <w:qFormat/>
    <w:uiPriority w:val="99"/>
    <w:pPr>
      <w:ind w:left="420" w:leftChars="200"/>
    </w:pPr>
  </w:style>
  <w:style w:type="paragraph" w:styleId="8">
    <w:name w:val="Plain Text"/>
    <w:basedOn w:val="1"/>
    <w:link w:val="48"/>
    <w:semiHidden/>
    <w:unhideWhenUsed/>
    <w:qFormat/>
    <w:uiPriority w:val="99"/>
    <w:pPr>
      <w:widowControl w:val="0"/>
      <w:adjustRightInd/>
      <w:spacing w:after="0"/>
      <w:jc w:val="both"/>
    </w:pPr>
    <w:rPr>
      <w:rFonts w:hint="eastAsia" w:ascii="宋体" w:hAnsi="Courier New" w:eastAsia="宋体" w:cs="Times New Roman"/>
      <w:sz w:val="20"/>
      <w:szCs w:val="21"/>
    </w:rPr>
  </w:style>
  <w:style w:type="paragraph" w:styleId="9">
    <w:name w:val="Date"/>
    <w:basedOn w:val="1"/>
    <w:next w:val="1"/>
    <w:link w:val="49"/>
    <w:semiHidden/>
    <w:unhideWhenUsed/>
    <w:qFormat/>
    <w:uiPriority w:val="99"/>
    <w:pPr>
      <w:ind w:left="100" w:leftChars="2500"/>
    </w:pPr>
  </w:style>
  <w:style w:type="paragraph" w:styleId="10">
    <w:name w:val="Body Text Indent 2"/>
    <w:basedOn w:val="1"/>
    <w:link w:val="54"/>
    <w:semiHidden/>
    <w:unhideWhenUsed/>
    <w:qFormat/>
    <w:uiPriority w:val="99"/>
    <w:pPr>
      <w:spacing w:line="480" w:lineRule="auto"/>
      <w:ind w:left="420" w:leftChars="200"/>
    </w:pPr>
  </w:style>
  <w:style w:type="paragraph" w:styleId="11">
    <w:name w:val="Balloon Text"/>
    <w:basedOn w:val="1"/>
    <w:link w:val="29"/>
    <w:semiHidden/>
    <w:unhideWhenUsed/>
    <w:qFormat/>
    <w:uiPriority w:val="99"/>
    <w:rPr>
      <w:sz w:val="18"/>
    </w:rPr>
  </w:style>
  <w:style w:type="paragraph" w:styleId="12">
    <w:name w:val="footer"/>
    <w:basedOn w:val="1"/>
    <w:link w:val="37"/>
    <w:unhideWhenUsed/>
    <w:qFormat/>
    <w:uiPriority w:val="99"/>
    <w:pPr>
      <w:tabs>
        <w:tab w:val="center" w:pos="4153"/>
        <w:tab w:val="right" w:pos="8306"/>
      </w:tabs>
    </w:pPr>
    <w:rPr>
      <w:sz w:val="18"/>
    </w:rPr>
  </w:style>
  <w:style w:type="paragraph" w:styleId="13">
    <w:name w:val="header"/>
    <w:basedOn w:val="1"/>
    <w:link w:val="4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4">
    <w:name w:val="toc 1"/>
    <w:basedOn w:val="1"/>
    <w:next w:val="1"/>
    <w:semiHidden/>
    <w:unhideWhenUsed/>
    <w:qFormat/>
    <w:uiPriority w:val="39"/>
    <w:pPr>
      <w:widowControl w:val="0"/>
      <w:tabs>
        <w:tab w:val="left" w:pos="420"/>
        <w:tab w:val="right" w:leader="dot" w:pos="8943"/>
      </w:tabs>
      <w:autoSpaceDE w:val="0"/>
      <w:autoSpaceDN w:val="0"/>
      <w:spacing w:after="0" w:line="360" w:lineRule="auto"/>
    </w:pPr>
    <w:rPr>
      <w:rFonts w:hint="eastAsia" w:ascii="宋体" w:hAnsi="宋体" w:eastAsia="宋体" w:cs="Times New Roman"/>
      <w:b/>
      <w:sz w:val="21"/>
      <w:szCs w:val="21"/>
    </w:rPr>
  </w:style>
  <w:style w:type="paragraph" w:styleId="15">
    <w:name w:val="footnote text"/>
    <w:basedOn w:val="1"/>
    <w:link w:val="33"/>
    <w:semiHidden/>
    <w:unhideWhenUsed/>
    <w:qFormat/>
    <w:uiPriority w:val="99"/>
    <w:rPr>
      <w:sz w:val="18"/>
    </w:rPr>
  </w:style>
  <w:style w:type="paragraph" w:styleId="16">
    <w:name w:val="Body Text Indent 3"/>
    <w:basedOn w:val="1"/>
    <w:link w:val="55"/>
    <w:semiHidden/>
    <w:unhideWhenUsed/>
    <w:qFormat/>
    <w:uiPriority w:val="99"/>
    <w:pPr>
      <w:ind w:left="420" w:leftChars="200"/>
    </w:pPr>
    <w:rPr>
      <w:sz w:val="16"/>
    </w:rPr>
  </w:style>
  <w:style w:type="paragraph" w:styleId="17">
    <w:name w:val="HTML Preformatted"/>
    <w:basedOn w:val="1"/>
    <w:link w:val="58"/>
    <w:semiHidden/>
    <w:unhideWhenUsed/>
    <w:qFormat/>
    <w:uiPriority w:val="99"/>
    <w:rPr>
      <w:rFonts w:ascii="Courier New" w:hAnsi="Courier New"/>
      <w:sz w:val="20"/>
    </w:rPr>
  </w:style>
  <w:style w:type="paragraph" w:styleId="18">
    <w:name w:val="Normal (Web)"/>
    <w:basedOn w:val="1"/>
    <w:semiHidden/>
    <w:unhideWhenUsed/>
    <w:qFormat/>
    <w:uiPriority w:val="99"/>
    <w:pPr>
      <w:adjustRightInd/>
      <w:spacing w:beforeAutospacing="1" w:after="0" w:afterAutospacing="1"/>
    </w:pPr>
    <w:rPr>
      <w:rFonts w:hint="eastAsia" w:ascii="宋体" w:hAnsi="宋体" w:eastAsia="宋体" w:cs="Times New Roman"/>
      <w:sz w:val="24"/>
      <w:szCs w:val="24"/>
    </w:rPr>
  </w:style>
  <w:style w:type="paragraph" w:styleId="19">
    <w:name w:val="Title"/>
    <w:basedOn w:val="1"/>
    <w:next w:val="1"/>
    <w:link w:val="61"/>
    <w:qFormat/>
    <w:uiPriority w:val="10"/>
    <w:pPr>
      <w:widowControl w:val="0"/>
      <w:autoSpaceDE w:val="0"/>
      <w:autoSpaceDN w:val="0"/>
      <w:spacing w:before="240" w:after="60"/>
      <w:jc w:val="center"/>
      <w:outlineLvl w:val="0"/>
    </w:pPr>
    <w:rPr>
      <w:rFonts w:ascii="Cambria" w:hAnsi="Cambria" w:eastAsia="宋体" w:cs="Times New Roman"/>
      <w:b/>
      <w:sz w:val="32"/>
      <w:szCs w:val="32"/>
    </w:rPr>
  </w:style>
  <w:style w:type="paragraph" w:styleId="20">
    <w:name w:val="annotation subject"/>
    <w:basedOn w:val="4"/>
    <w:next w:val="4"/>
    <w:link w:val="50"/>
    <w:semiHidden/>
    <w:unhideWhenUsed/>
    <w:qFormat/>
    <w:uiPriority w:val="99"/>
    <w:rPr>
      <w:b/>
    </w:rPr>
  </w:style>
  <w:style w:type="table" w:styleId="22">
    <w:name w:val="Table Grid"/>
    <w:basedOn w:val="21"/>
    <w:qFormat/>
    <w:uiPriority w:val="59"/>
    <w:pPr>
      <w:widowControl w:val="0"/>
      <w:autoSpaceDE w:val="0"/>
      <w:autoSpaceDN w:val="0"/>
      <w:adjustRightInd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4">
    <w:name w:val="Strong"/>
    <w:basedOn w:val="23"/>
    <w:qFormat/>
    <w:uiPriority w:val="22"/>
    <w:rPr>
      <w:b/>
    </w:rPr>
  </w:style>
  <w:style w:type="character" w:styleId="25">
    <w:name w:val="FollowedHyperlink"/>
    <w:basedOn w:val="23"/>
    <w:semiHidden/>
    <w:unhideWhenUsed/>
    <w:qFormat/>
    <w:uiPriority w:val="99"/>
    <w:rPr>
      <w:color w:val="954F72"/>
      <w:u w:val="single"/>
    </w:rPr>
  </w:style>
  <w:style w:type="character" w:styleId="26">
    <w:name w:val="Hyperlink"/>
    <w:basedOn w:val="23"/>
    <w:semiHidden/>
    <w:unhideWhenUsed/>
    <w:qFormat/>
    <w:uiPriority w:val="99"/>
    <w:rPr>
      <w:color w:val="0000FF"/>
      <w:u w:val="single"/>
    </w:rPr>
  </w:style>
  <w:style w:type="character" w:styleId="27">
    <w:name w:val="annotation reference"/>
    <w:basedOn w:val="23"/>
    <w:semiHidden/>
    <w:unhideWhenUsed/>
    <w:qFormat/>
    <w:uiPriority w:val="99"/>
    <w:rPr>
      <w:sz w:val="21"/>
      <w:szCs w:val="21"/>
    </w:rPr>
  </w:style>
  <w:style w:type="character" w:styleId="28">
    <w:name w:val="footnote reference"/>
    <w:basedOn w:val="23"/>
    <w:semiHidden/>
    <w:unhideWhenUsed/>
    <w:qFormat/>
    <w:uiPriority w:val="99"/>
    <w:rPr>
      <w:vertAlign w:val="superscript"/>
    </w:rPr>
  </w:style>
  <w:style w:type="character" w:customStyle="1" w:styleId="29">
    <w:name w:val="批注框文本 Char"/>
    <w:basedOn w:val="23"/>
    <w:link w:val="11"/>
    <w:qFormat/>
    <w:uiPriority w:val="0"/>
    <w:rPr>
      <w:rFonts w:hint="default" w:ascii="Times New Roman" w:hAnsi="Times New Roman" w:eastAsia="宋体" w:cs="Times New Roman"/>
      <w:kern w:val="0"/>
      <w:sz w:val="18"/>
      <w:szCs w:val="18"/>
    </w:rPr>
  </w:style>
  <w:style w:type="character" w:customStyle="1" w:styleId="30">
    <w:name w:val="批注文字 Char"/>
    <w:basedOn w:val="23"/>
    <w:link w:val="4"/>
    <w:qFormat/>
    <w:uiPriority w:val="0"/>
    <w:rPr>
      <w:rFonts w:hint="default" w:ascii="Times New Roman" w:hAnsi="Times New Roman" w:eastAsia="宋体" w:cs="Times New Roman"/>
      <w:kern w:val="0"/>
      <w:szCs w:val="21"/>
    </w:rPr>
  </w:style>
  <w:style w:type="character" w:customStyle="1" w:styleId="31">
    <w:name w:val="标题 8 Char"/>
    <w:basedOn w:val="23"/>
    <w:qFormat/>
    <w:uiPriority w:val="0"/>
    <w:rPr>
      <w:rFonts w:hint="default" w:ascii="Arial" w:hAnsi="Arial" w:eastAsia="黑体" w:cs="Times New Roman"/>
      <w:kern w:val="0"/>
      <w:sz w:val="24"/>
      <w:szCs w:val="24"/>
    </w:rPr>
  </w:style>
  <w:style w:type="character" w:customStyle="1" w:styleId="32">
    <w:name w:val="p141"/>
    <w:basedOn w:val="23"/>
    <w:qFormat/>
    <w:uiPriority w:val="0"/>
    <w:rPr>
      <w:sz w:val="21"/>
      <w:szCs w:val="21"/>
    </w:rPr>
  </w:style>
  <w:style w:type="character" w:customStyle="1" w:styleId="33">
    <w:name w:val="脚注文本 Char"/>
    <w:basedOn w:val="23"/>
    <w:link w:val="15"/>
    <w:qFormat/>
    <w:uiPriority w:val="0"/>
    <w:rPr>
      <w:rFonts w:hint="default" w:ascii="Times New Roman" w:hAnsi="Times New Roman" w:eastAsia="宋体" w:cs="Times New Roman"/>
      <w:kern w:val="0"/>
      <w:sz w:val="18"/>
      <w:szCs w:val="18"/>
    </w:rPr>
  </w:style>
  <w:style w:type="character" w:customStyle="1" w:styleId="34">
    <w:name w:val="标题 5 Char"/>
    <w:basedOn w:val="23"/>
    <w:qFormat/>
    <w:uiPriority w:val="0"/>
    <w:rPr>
      <w:rFonts w:hint="default" w:ascii="Times New Roman" w:hAnsi="Times New Roman" w:eastAsia="宋体" w:cs="Times New Roman"/>
      <w:b/>
      <w:kern w:val="0"/>
      <w:sz w:val="28"/>
      <w:szCs w:val="28"/>
    </w:rPr>
  </w:style>
  <w:style w:type="character" w:customStyle="1" w:styleId="35">
    <w:name w:val="标题 1 Char"/>
    <w:basedOn w:val="23"/>
    <w:qFormat/>
    <w:uiPriority w:val="0"/>
    <w:rPr>
      <w:rFonts w:hint="default" w:ascii="Times New Roman" w:hAnsi="Times New Roman" w:eastAsia="宋体" w:cs="Times New Roman"/>
      <w:b/>
      <w:kern w:val="0"/>
      <w:sz w:val="24"/>
      <w:szCs w:val="24"/>
    </w:rPr>
  </w:style>
  <w:style w:type="paragraph" w:customStyle="1" w:styleId="36">
    <w:name w:val="msolistparagraph"/>
    <w:basedOn w:val="1"/>
    <w:qFormat/>
    <w:uiPriority w:val="0"/>
    <w:pPr>
      <w:widowControl w:val="0"/>
      <w:adjustRightInd/>
      <w:spacing w:after="0"/>
      <w:ind w:firstLine="420" w:firstLineChars="200"/>
      <w:jc w:val="both"/>
    </w:pPr>
    <w:rPr>
      <w:rFonts w:ascii="Times New Roman" w:hAnsi="Times New Roman" w:eastAsia="黑体" w:cs="Times New Roman"/>
      <w:bCs/>
      <w:kern w:val="2"/>
      <w:sz w:val="30"/>
      <w:szCs w:val="30"/>
    </w:rPr>
  </w:style>
  <w:style w:type="character" w:customStyle="1" w:styleId="37">
    <w:name w:val="页脚 Char"/>
    <w:basedOn w:val="23"/>
    <w:link w:val="12"/>
    <w:qFormat/>
    <w:uiPriority w:val="0"/>
    <w:rPr>
      <w:rFonts w:hint="default" w:ascii="Times New Roman" w:hAnsi="Times New Roman" w:eastAsia="宋体" w:cs="Times New Roman"/>
      <w:kern w:val="0"/>
      <w:sz w:val="18"/>
      <w:szCs w:val="18"/>
    </w:rPr>
  </w:style>
  <w:style w:type="character" w:customStyle="1" w:styleId="38">
    <w:name w:val="标题 2 Char"/>
    <w:basedOn w:val="23"/>
    <w:link w:val="2"/>
    <w:qFormat/>
    <w:uiPriority w:val="0"/>
    <w:rPr>
      <w:rFonts w:hint="default" w:ascii="Arial" w:hAnsi="Arial" w:eastAsia="黑体" w:cs="Times New Roman"/>
      <w:b/>
      <w:sz w:val="32"/>
      <w:szCs w:val="32"/>
    </w:rPr>
  </w:style>
  <w:style w:type="character" w:customStyle="1" w:styleId="39">
    <w:name w:val="标题 9 Char"/>
    <w:basedOn w:val="23"/>
    <w:qFormat/>
    <w:uiPriority w:val="0"/>
    <w:rPr>
      <w:rFonts w:hint="default" w:ascii="Arial" w:hAnsi="Arial" w:eastAsia="黑体" w:cs="Times New Roman"/>
      <w:kern w:val="0"/>
      <w:szCs w:val="21"/>
    </w:rPr>
  </w:style>
  <w:style w:type="character" w:customStyle="1" w:styleId="40">
    <w:name w:val="标题 3 Char"/>
    <w:basedOn w:val="23"/>
    <w:qFormat/>
    <w:uiPriority w:val="0"/>
    <w:rPr>
      <w:rFonts w:hint="eastAsia" w:ascii="楷体_GB2312" w:hAnsi="宋体" w:eastAsia="楷体_GB2312" w:cs="Times New Roman"/>
      <w:b/>
      <w:sz w:val="32"/>
      <w:szCs w:val="24"/>
    </w:rPr>
  </w:style>
  <w:style w:type="character" w:customStyle="1" w:styleId="41">
    <w:name w:val="文档结构图 Char"/>
    <w:basedOn w:val="23"/>
    <w:link w:val="3"/>
    <w:qFormat/>
    <w:uiPriority w:val="0"/>
    <w:rPr>
      <w:rFonts w:hint="default" w:ascii="Times New Roman" w:hAnsi="Times New Roman" w:eastAsia="宋体" w:cs="Times New Roman"/>
      <w:kern w:val="0"/>
      <w:szCs w:val="21"/>
      <w:shd w:val="clear" w:color="auto" w:fill="000080"/>
    </w:rPr>
  </w:style>
  <w:style w:type="character" w:customStyle="1" w:styleId="42">
    <w:name w:val="标题 4 Char"/>
    <w:basedOn w:val="23"/>
    <w:qFormat/>
    <w:uiPriority w:val="0"/>
    <w:rPr>
      <w:rFonts w:hint="default" w:ascii="Arial" w:hAnsi="Arial" w:eastAsia="黑体" w:cs="Times New Roman"/>
      <w:b/>
      <w:kern w:val="0"/>
      <w:sz w:val="28"/>
      <w:szCs w:val="28"/>
    </w:rPr>
  </w:style>
  <w:style w:type="character" w:customStyle="1" w:styleId="43">
    <w:name w:val="标题 6 Char"/>
    <w:basedOn w:val="23"/>
    <w:qFormat/>
    <w:uiPriority w:val="0"/>
    <w:rPr>
      <w:rFonts w:hint="default" w:ascii="Arial" w:hAnsi="Arial" w:eastAsia="黑体" w:cs="Times New Roman"/>
      <w:b/>
      <w:kern w:val="0"/>
      <w:sz w:val="24"/>
      <w:szCs w:val="24"/>
    </w:rPr>
  </w:style>
  <w:style w:type="character" w:customStyle="1" w:styleId="44">
    <w:name w:val="标题 7 Char"/>
    <w:basedOn w:val="23"/>
    <w:qFormat/>
    <w:uiPriority w:val="0"/>
    <w:rPr>
      <w:rFonts w:hint="default" w:ascii="Times New Roman" w:hAnsi="Times New Roman" w:eastAsia="宋体" w:cs="Times New Roman"/>
      <w:b/>
      <w:kern w:val="0"/>
      <w:sz w:val="24"/>
      <w:szCs w:val="24"/>
    </w:rPr>
  </w:style>
  <w:style w:type="character" w:customStyle="1" w:styleId="45">
    <w:name w:val="页眉 Char"/>
    <w:basedOn w:val="23"/>
    <w:link w:val="13"/>
    <w:qFormat/>
    <w:uiPriority w:val="0"/>
    <w:rPr>
      <w:rFonts w:hint="default" w:ascii="Times New Roman" w:hAnsi="Times New Roman" w:eastAsia="宋体" w:cs="Times New Roman"/>
      <w:kern w:val="0"/>
      <w:sz w:val="18"/>
      <w:szCs w:val="18"/>
    </w:rPr>
  </w:style>
  <w:style w:type="character" w:customStyle="1" w:styleId="46">
    <w:name w:val="正文缩进 Char"/>
    <w:basedOn w:val="23"/>
    <w:qFormat/>
    <w:uiPriority w:val="0"/>
    <w:rPr>
      <w:rFonts w:hint="default" w:ascii="Times New Roman" w:hAnsi="Times New Roman" w:eastAsia="宋体" w:cs="Times New Roman"/>
      <w:kern w:val="0"/>
      <w:sz w:val="20"/>
      <w:szCs w:val="20"/>
    </w:rPr>
  </w:style>
  <w:style w:type="character" w:customStyle="1" w:styleId="47">
    <w:name w:val="纯文本 Char"/>
    <w:basedOn w:val="23"/>
    <w:qFormat/>
    <w:uiPriority w:val="0"/>
    <w:rPr>
      <w:rFonts w:hint="eastAsia" w:ascii="宋体" w:hAnsi="Courier New" w:eastAsia="宋体" w:cs="Courier New"/>
      <w:kern w:val="0"/>
      <w:szCs w:val="21"/>
    </w:rPr>
  </w:style>
  <w:style w:type="character" w:customStyle="1" w:styleId="48">
    <w:name w:val="纯文本 Char1"/>
    <w:basedOn w:val="23"/>
    <w:link w:val="8"/>
    <w:qFormat/>
    <w:uiPriority w:val="0"/>
    <w:rPr>
      <w:rFonts w:hint="eastAsia" w:ascii="宋体" w:hAnsi="Courier New" w:eastAsia="宋体" w:cs="Times New Roman"/>
      <w:kern w:val="0"/>
      <w:sz w:val="20"/>
      <w:szCs w:val="21"/>
    </w:rPr>
  </w:style>
  <w:style w:type="character" w:customStyle="1" w:styleId="49">
    <w:name w:val="日期 Char"/>
    <w:basedOn w:val="23"/>
    <w:link w:val="9"/>
    <w:qFormat/>
    <w:uiPriority w:val="0"/>
    <w:rPr>
      <w:rFonts w:hint="default" w:ascii="Times New Roman" w:hAnsi="Times New Roman" w:eastAsia="宋体" w:cs="Times New Roman"/>
      <w:kern w:val="0"/>
      <w:szCs w:val="21"/>
    </w:rPr>
  </w:style>
  <w:style w:type="character" w:customStyle="1" w:styleId="50">
    <w:name w:val="批注主题 Char"/>
    <w:basedOn w:val="30"/>
    <w:link w:val="20"/>
    <w:qFormat/>
    <w:uiPriority w:val="0"/>
    <w:rPr>
      <w:rFonts w:hint="default" w:ascii="Times New Roman" w:hAnsi="Times New Roman" w:eastAsia="宋体" w:cs="Times New Roman"/>
      <w:b/>
      <w:kern w:val="0"/>
      <w:sz w:val="20"/>
      <w:szCs w:val="20"/>
    </w:rPr>
  </w:style>
  <w:style w:type="paragraph" w:customStyle="1" w:styleId="51">
    <w:name w:val="样式4"/>
    <w:basedOn w:val="1"/>
    <w:qFormat/>
    <w:uiPriority w:val="0"/>
    <w:pPr>
      <w:widowControl w:val="0"/>
      <w:numPr>
        <w:ilvl w:val="3"/>
        <w:numId w:val="1"/>
      </w:numPr>
      <w:adjustRightInd/>
      <w:spacing w:after="0"/>
      <w:jc w:val="both"/>
    </w:pPr>
    <w:rPr>
      <w:rFonts w:ascii="Times New Roman" w:hAnsi="Times New Roman" w:eastAsia="宋体" w:cs="Times New Roman"/>
      <w:kern w:val="2"/>
      <w:sz w:val="21"/>
      <w:szCs w:val="24"/>
    </w:rPr>
  </w:style>
  <w:style w:type="character" w:customStyle="1" w:styleId="52">
    <w:name w:val="正文文本 Char"/>
    <w:basedOn w:val="23"/>
    <w:link w:val="6"/>
    <w:qFormat/>
    <w:uiPriority w:val="0"/>
    <w:rPr>
      <w:rFonts w:hint="default" w:ascii="Times New Roman" w:hAnsi="Times New Roman" w:eastAsia="宋体" w:cs="Times New Roman"/>
      <w:szCs w:val="24"/>
    </w:rPr>
  </w:style>
  <w:style w:type="character" w:customStyle="1" w:styleId="53">
    <w:name w:val="正文文本缩进 Char"/>
    <w:basedOn w:val="23"/>
    <w:link w:val="7"/>
    <w:qFormat/>
    <w:uiPriority w:val="0"/>
    <w:rPr>
      <w:rFonts w:hint="default" w:ascii="Times New Roman" w:hAnsi="Times New Roman" w:eastAsia="宋体" w:cs="Times New Roman"/>
      <w:sz w:val="24"/>
      <w:szCs w:val="24"/>
    </w:rPr>
  </w:style>
  <w:style w:type="character" w:customStyle="1" w:styleId="54">
    <w:name w:val="正文文本缩进 2 Char"/>
    <w:basedOn w:val="23"/>
    <w:link w:val="10"/>
    <w:qFormat/>
    <w:uiPriority w:val="0"/>
    <w:rPr>
      <w:rFonts w:hint="default" w:ascii="Times New Roman" w:hAnsi="Times New Roman" w:eastAsia="宋体" w:cs="Times New Roman"/>
      <w:sz w:val="24"/>
      <w:szCs w:val="24"/>
    </w:rPr>
  </w:style>
  <w:style w:type="character" w:customStyle="1" w:styleId="55">
    <w:name w:val="正文文本缩进 3 Char"/>
    <w:basedOn w:val="23"/>
    <w:link w:val="16"/>
    <w:qFormat/>
    <w:uiPriority w:val="0"/>
    <w:rPr>
      <w:rFonts w:hint="default" w:ascii="Times New Roman" w:hAnsi="Times New Roman" w:eastAsia="宋体" w:cs="Times New Roman"/>
      <w:sz w:val="16"/>
      <w:szCs w:val="16"/>
    </w:rPr>
  </w:style>
  <w:style w:type="paragraph" w:customStyle="1" w:styleId="56">
    <w:name w:val="图"/>
    <w:basedOn w:val="1"/>
    <w:qFormat/>
    <w:uiPriority w:val="0"/>
    <w:pPr>
      <w:keepNext/>
      <w:widowControl w:val="0"/>
      <w:spacing w:before="60" w:after="60" w:line="300" w:lineRule="auto"/>
      <w:jc w:val="center"/>
    </w:pPr>
    <w:rPr>
      <w:rFonts w:ascii="Times New Roman" w:hAnsi="Times New Roman" w:eastAsia="宋体" w:cs="Times New Roman"/>
      <w:spacing w:val="20"/>
      <w:sz w:val="24"/>
      <w:szCs w:val="21"/>
    </w:rPr>
  </w:style>
  <w:style w:type="character" w:customStyle="1" w:styleId="57">
    <w:name w:val="s10pv000000"/>
    <w:basedOn w:val="23"/>
    <w:qFormat/>
    <w:uiPriority w:val="0"/>
  </w:style>
  <w:style w:type="character" w:customStyle="1" w:styleId="58">
    <w:name w:val="HTML 预设格式 Char"/>
    <w:basedOn w:val="23"/>
    <w:link w:val="17"/>
    <w:qFormat/>
    <w:uiPriority w:val="0"/>
    <w:rPr>
      <w:rFonts w:hint="eastAsia" w:ascii="黑体" w:hAnsi="Courier New" w:eastAsia="黑体" w:cs="Times New Roman"/>
      <w:kern w:val="0"/>
      <w:sz w:val="20"/>
      <w:szCs w:val="20"/>
    </w:rPr>
  </w:style>
  <w:style w:type="character" w:customStyle="1" w:styleId="59">
    <w:name w:val="f141"/>
    <w:basedOn w:val="23"/>
    <w:qFormat/>
    <w:uiPriority w:val="0"/>
    <w:rPr>
      <w:sz w:val="21"/>
      <w:szCs w:val="21"/>
    </w:rPr>
  </w:style>
  <w:style w:type="character" w:customStyle="1" w:styleId="60">
    <w:name w:val="正文文本 3 Char"/>
    <w:basedOn w:val="23"/>
    <w:link w:val="5"/>
    <w:qFormat/>
    <w:uiPriority w:val="0"/>
    <w:rPr>
      <w:rFonts w:hint="default" w:ascii="Times New Roman" w:hAnsi="Times New Roman" w:eastAsia="宋体" w:cs="Times New Roman"/>
      <w:sz w:val="16"/>
      <w:szCs w:val="16"/>
    </w:rPr>
  </w:style>
  <w:style w:type="character" w:customStyle="1" w:styleId="61">
    <w:name w:val="标题 Char"/>
    <w:basedOn w:val="23"/>
    <w:link w:val="19"/>
    <w:qFormat/>
    <w:uiPriority w:val="0"/>
    <w:rPr>
      <w:rFonts w:hint="default" w:ascii="Cambria" w:hAnsi="Cambria" w:eastAsia="宋体" w:cs="Times New Roman"/>
      <w:b/>
      <w:kern w:val="0"/>
      <w:sz w:val="32"/>
      <w:szCs w:val="32"/>
    </w:rPr>
  </w:style>
  <w:style w:type="table" w:customStyle="1" w:styleId="62">
    <w:name w:val="网格型1"/>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styleId="63">
    <w:name w:val="List Paragraph"/>
    <w:basedOn w:val="1"/>
    <w:qFormat/>
    <w:uiPriority w:val="34"/>
    <w:pPr>
      <w:ind w:firstLine="420" w:firstLineChars="200"/>
    </w:pPr>
  </w:style>
  <w:style w:type="character" w:customStyle="1" w:styleId="64">
    <w:name w:val="xhebtnunderline"/>
    <w:basedOn w:val="23"/>
    <w:qFormat/>
    <w:uiPriority w:val="0"/>
  </w:style>
  <w:style w:type="character" w:customStyle="1" w:styleId="65">
    <w:name w:val="xhebtnfontsize"/>
    <w:basedOn w:val="23"/>
    <w:qFormat/>
    <w:uiPriority w:val="0"/>
  </w:style>
  <w:style w:type="character" w:customStyle="1" w:styleId="66">
    <w:name w:val="xhebtnimg"/>
    <w:basedOn w:val="23"/>
    <w:qFormat/>
    <w:uiPriority w:val="0"/>
  </w:style>
  <w:style w:type="character" w:customStyle="1" w:styleId="67">
    <w:name w:val="xhegstart"/>
    <w:basedOn w:val="23"/>
    <w:qFormat/>
    <w:uiPriority w:val="0"/>
    <w:rPr>
      <w:vanish/>
    </w:rPr>
  </w:style>
  <w:style w:type="character" w:customStyle="1" w:styleId="68">
    <w:name w:val="xhebtnlist"/>
    <w:basedOn w:val="23"/>
    <w:qFormat/>
    <w:uiPriority w:val="0"/>
  </w:style>
  <w:style w:type="character" w:customStyle="1" w:styleId="69">
    <w:name w:val="xhegend"/>
    <w:basedOn w:val="23"/>
    <w:qFormat/>
    <w:uiPriority w:val="0"/>
    <w:rPr>
      <w:vanish/>
    </w:rPr>
  </w:style>
  <w:style w:type="character" w:customStyle="1" w:styleId="70">
    <w:name w:val="xhebtnfullscreen"/>
    <w:basedOn w:val="23"/>
    <w:qFormat/>
    <w:uiPriority w:val="0"/>
  </w:style>
  <w:style w:type="character" w:customStyle="1" w:styleId="71">
    <w:name w:val="xhebtnabout"/>
    <w:basedOn w:val="23"/>
    <w:qFormat/>
    <w:uiPriority w:val="0"/>
  </w:style>
  <w:style w:type="character" w:customStyle="1" w:styleId="72">
    <w:name w:val="xhebtnstrikethrough"/>
    <w:basedOn w:val="23"/>
    <w:qFormat/>
    <w:uiPriority w:val="0"/>
  </w:style>
  <w:style w:type="character" w:customStyle="1" w:styleId="73">
    <w:name w:val="xhebtnpastetext"/>
    <w:basedOn w:val="23"/>
    <w:qFormat/>
    <w:uiPriority w:val="0"/>
  </w:style>
  <w:style w:type="character" w:customStyle="1" w:styleId="74">
    <w:name w:val="xhebtnalign"/>
    <w:basedOn w:val="23"/>
    <w:qFormat/>
    <w:uiPriority w:val="0"/>
  </w:style>
  <w:style w:type="character" w:customStyle="1" w:styleId="75">
    <w:name w:val="xhebtnemot"/>
    <w:basedOn w:val="23"/>
    <w:qFormat/>
    <w:uiPriority w:val="0"/>
  </w:style>
  <w:style w:type="character" w:customStyle="1" w:styleId="76">
    <w:name w:val="xheseparator"/>
    <w:basedOn w:val="23"/>
    <w:uiPriority w:val="0"/>
  </w:style>
  <w:style w:type="character" w:customStyle="1" w:styleId="77">
    <w:name w:val="xhebtncut"/>
    <w:basedOn w:val="23"/>
    <w:uiPriority w:val="0"/>
  </w:style>
  <w:style w:type="character" w:customStyle="1" w:styleId="78">
    <w:name w:val="xheicon"/>
    <w:basedOn w:val="23"/>
    <w:qFormat/>
    <w:uiPriority w:val="0"/>
  </w:style>
  <w:style w:type="character" w:customStyle="1" w:styleId="79">
    <w:name w:val="xhebtncopy"/>
    <w:basedOn w:val="23"/>
    <w:qFormat/>
    <w:uiPriority w:val="0"/>
  </w:style>
  <w:style w:type="character" w:customStyle="1" w:styleId="80">
    <w:name w:val="xhebtnpaste"/>
    <w:basedOn w:val="23"/>
    <w:uiPriority w:val="0"/>
  </w:style>
  <w:style w:type="character" w:customStyle="1" w:styleId="81">
    <w:name w:val="xhebtnblocktag"/>
    <w:basedOn w:val="23"/>
    <w:uiPriority w:val="0"/>
  </w:style>
  <w:style w:type="character" w:customStyle="1" w:styleId="82">
    <w:name w:val="xhebtnfontface"/>
    <w:basedOn w:val="23"/>
    <w:uiPriority w:val="0"/>
  </w:style>
  <w:style w:type="character" w:customStyle="1" w:styleId="83">
    <w:name w:val="xhebtnbold"/>
    <w:basedOn w:val="23"/>
    <w:uiPriority w:val="0"/>
  </w:style>
  <w:style w:type="character" w:customStyle="1" w:styleId="84">
    <w:name w:val="xhebtnitalic"/>
    <w:basedOn w:val="23"/>
    <w:uiPriority w:val="0"/>
  </w:style>
  <w:style w:type="character" w:customStyle="1" w:styleId="85">
    <w:name w:val="xhebtnfontcolor"/>
    <w:basedOn w:val="23"/>
    <w:uiPriority w:val="0"/>
  </w:style>
  <w:style w:type="character" w:customStyle="1" w:styleId="86">
    <w:name w:val="xhebtnbackcolor"/>
    <w:basedOn w:val="23"/>
    <w:qFormat/>
    <w:uiPriority w:val="0"/>
  </w:style>
  <w:style w:type="character" w:customStyle="1" w:styleId="87">
    <w:name w:val="xhebtnselectall"/>
    <w:basedOn w:val="23"/>
    <w:uiPriority w:val="0"/>
  </w:style>
  <w:style w:type="character" w:customStyle="1" w:styleId="88">
    <w:name w:val="xhebtnremoveformat"/>
    <w:basedOn w:val="23"/>
    <w:uiPriority w:val="0"/>
  </w:style>
  <w:style w:type="character" w:customStyle="1" w:styleId="89">
    <w:name w:val="xhebtnoutdent"/>
    <w:basedOn w:val="23"/>
    <w:qFormat/>
    <w:uiPriority w:val="0"/>
  </w:style>
  <w:style w:type="character" w:customStyle="1" w:styleId="90">
    <w:name w:val="xhebtnindent"/>
    <w:basedOn w:val="23"/>
    <w:uiPriority w:val="0"/>
  </w:style>
  <w:style w:type="character" w:customStyle="1" w:styleId="91">
    <w:name w:val="xhebtnlink"/>
    <w:basedOn w:val="23"/>
    <w:uiPriority w:val="0"/>
  </w:style>
  <w:style w:type="character" w:customStyle="1" w:styleId="92">
    <w:name w:val="xhebtnunlink"/>
    <w:basedOn w:val="23"/>
    <w:uiPriority w:val="0"/>
  </w:style>
  <w:style w:type="character" w:customStyle="1" w:styleId="93">
    <w:name w:val="xhebtnanchor"/>
    <w:basedOn w:val="23"/>
    <w:uiPriority w:val="0"/>
  </w:style>
  <w:style w:type="character" w:customStyle="1" w:styleId="94">
    <w:name w:val="xhebtnflash"/>
    <w:basedOn w:val="23"/>
    <w:uiPriority w:val="0"/>
  </w:style>
  <w:style w:type="character" w:customStyle="1" w:styleId="95">
    <w:name w:val="xhebtnmedia"/>
    <w:basedOn w:val="23"/>
    <w:uiPriority w:val="0"/>
  </w:style>
  <w:style w:type="character" w:customStyle="1" w:styleId="96">
    <w:name w:val="xhebtnhr"/>
    <w:basedOn w:val="23"/>
    <w:qFormat/>
    <w:uiPriority w:val="0"/>
  </w:style>
  <w:style w:type="character" w:customStyle="1" w:styleId="97">
    <w:name w:val="xhebtntable"/>
    <w:basedOn w:val="23"/>
    <w:qFormat/>
    <w:uiPriority w:val="0"/>
  </w:style>
  <w:style w:type="character" w:customStyle="1" w:styleId="98">
    <w:name w:val="xhebtnsource"/>
    <w:basedOn w:val="23"/>
    <w:qFormat/>
    <w:uiPriority w:val="0"/>
  </w:style>
  <w:style w:type="character" w:customStyle="1" w:styleId="99">
    <w:name w:val="xhebtnpreview"/>
    <w:basedOn w:val="23"/>
    <w:qFormat/>
    <w:uiPriority w:val="0"/>
  </w:style>
  <w:style w:type="character" w:customStyle="1" w:styleId="100">
    <w:name w:val="xhebtnprint"/>
    <w:basedOn w:val="2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59</Pages>
  <Words>6398</Words>
  <Characters>36475</Characters>
  <Lines>303</Lines>
  <Paragraphs>85</Paragraphs>
  <TotalTime>75</TotalTime>
  <ScaleCrop>false</ScaleCrop>
  <LinksUpToDate>false</LinksUpToDate>
  <CharactersWithSpaces>42788</CharactersWithSpaces>
  <Application>WPS Office_11.1.0.8900_F1E327BC-269C-435d-A152-05C5408002CA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2020-04-23T06:56:00Z</cp:lastPrinted>
  <dcterms:modified xsi:type="dcterms:W3CDTF">2020-04-23T08:43:43Z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2052-11.1.0.8900</vt:lpwstr>
  </property>
</Properties>
</file>